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仿宋" w:eastAsia="方正小标宋简体"/>
          <w:sz w:val="44"/>
          <w:szCs w:val="44"/>
        </w:rPr>
      </w:pPr>
      <w:r>
        <w:rPr>
          <w:rFonts w:ascii="Times New Roman" w:hAnsi="Times New Roman" w:eastAsia="方正小标宋简体"/>
          <w:sz w:val="44"/>
          <w:szCs w:val="44"/>
        </w:rPr>
        <w:t>2021</w:t>
      </w:r>
      <w:r>
        <w:rPr>
          <w:rFonts w:hint="eastAsia" w:ascii="方正小标宋简体" w:hAnsi="仿宋" w:eastAsia="方正小标宋简体"/>
          <w:sz w:val="44"/>
          <w:szCs w:val="44"/>
        </w:rPr>
        <w:t>年度益阳医学高等专科学校</w:t>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中职免学费项目支出绩效自评报告</w:t>
      </w:r>
    </w:p>
    <w:p>
      <w:pPr>
        <w:spacing w:line="600" w:lineRule="exact"/>
        <w:jc w:val="center"/>
        <w:rPr>
          <w:rFonts w:ascii="方正小标宋简体" w:hAnsi="仿宋" w:eastAsia="方正小标宋简体"/>
          <w:sz w:val="44"/>
          <w:szCs w:val="44"/>
        </w:rPr>
      </w:pP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为进一步规范资金管理，防范各类风险，强化绩效和责任意识，切实提高资金的使用效益。根据《益阳市财政局关于开展2021年度部门绩效自评工作的通知》，我校将2021年中职免学费项目资金使用情况进行绩效分析评价，现报告如下。</w:t>
      </w:r>
    </w:p>
    <w:p>
      <w:pPr>
        <w:pStyle w:val="6"/>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益阳医学高等专科学校2021年度共有339人次享受了中职免学费政策，其中2021年春中职免学费人数339人，我校于2021年下半年无中职学生。全年共计收到财政中职免学费拨款144.12万元，其中市级财政专项资金41.04万元。</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我校严格执行国家免学费政策，中职学生在入学时已经全免学费，没有采取先收取后退费的方式。所收到的财政专项资金用于了中职学生的教学、生活、实验实训等各方面的支出。</w:t>
      </w:r>
    </w:p>
    <w:p>
      <w:pPr>
        <w:pStyle w:val="6"/>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二、绩效自评工作开展情况</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（一）绩效评价目的</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对专项资金进行绩效评价的目的是为了更进一步加强对资金的监管和提高资金的使用效率，是财政加强预算管理的要求。</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（二）项目绩效自评情况</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中职免学费对解决困难学主入学提供了较大的帮助，部分家庭困难的学生通过这个途径能顺利完成学业，尽早参加工作，服务基层医疗卫生行业。</w:t>
      </w:r>
    </w:p>
    <w:p>
      <w:pPr>
        <w:pStyle w:val="6"/>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三、综合评价结论</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我校中职免学费项目支出绩效自评得分99.5分，自评结论为优秀。</w:t>
      </w:r>
    </w:p>
    <w:p>
      <w:pPr>
        <w:pStyle w:val="6"/>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四、绩效目标实现情况分析</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市财政中职免学费市级资金41.04万元于2021年4月拨付我校财政账户，该项经费拨付及时足额，根据中职免学费政策，市财政采取了先预拨后结算的方式对全年的中职免学费经费进行核算，这种方式操作性较强。</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我校2021年度共计339人次享受中职免学费，除了市本级拨款还有中央和省级专项拨款，按每生每年2400元的免学费标准拨付到位，我校严格按照财政专项资金的管理办法对资金进行了严格管理和使用，资金使用和报销严格按照《益阳医学高等专科学校专项资金管理办法》要求进行，资金支出进度和范围等与申报计划的相符，资金支出合理、合法和合规。没有出现资金违规使用、闲置等情况。</w:t>
      </w:r>
    </w:p>
    <w:p>
      <w:pPr>
        <w:pStyle w:val="6"/>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五、存在的问题和改进的措施</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（一）存在的问题</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1、我市中职免学费拨付的标准是2400元/生·年，我校的中职学生的收费标准在物价部门审批的标准是3450元/生·年，两个标准之间的差价，按物价的政策是不允许收取的，医学类的中职学生投入的成本比较高，学校的这部分资金缺口没有办法补足。</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2、中职学生的退学人数无法计入拨付标准，教育部门每年会组织中职国家免学费资格审核，只有审核通过了的才能享受免学费政策，财政和教育部门才能把专项资金拨付到位，但是在这段时间之前入学后就读并在审核前办理了退学的学生，我校是无法获得拨款的，学校在前期的投入没有办法得到补助。</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（二）改进的措施</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希望政府部门能够进一步加大对中职教育的投入力度，落实中职生均拨款制度。</w:t>
      </w:r>
    </w:p>
    <w:p>
      <w:pPr>
        <w:pStyle w:val="6"/>
        <w:shd w:val="clear" w:color="auto" w:fill="FFFFFF"/>
        <w:spacing w:beforeAutospacing="0" w:afterAutospacing="0"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六、绩效自评结果拟应用和公开情况</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财政支出绩效评价结果应用是增强资金绩效观念，加强财政支出管理，优化财政支出结构，提高资金管理水平和使用效益的重要手段。学校重视绩效评价结果的应用工作，积极探索和建立了一套与预算管理相结合、多渠道应用评价结果的有效机制，充分发挥绩效评价的以评促管效能。</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绩效评价结果将作为学校下年安排部门整体支出资金的重要依据，为下一年预算编制提供参考。</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（一）通过绩效评价结果能够了解资金的配置是否合理，是否发挥了应有的作用，支出规模是否适当，学校将总结经验和教训，进一步改进工作，提高财政资源的使用效率。</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二）对绩效评价结果中存在的问题，学校将督促落实整改措施，及时督促调整工作计划、绩效目标，加强项目财务管理，提高资金使用效益；对绩效评价中发现的各种违法、违规问题依法处理，严肃财经纪律，确保财政资金的有效使用。</w:t>
      </w:r>
    </w:p>
    <w:p>
      <w:pPr>
        <w:pStyle w:val="6"/>
        <w:shd w:val="clear" w:color="auto" w:fill="FFFFFF"/>
        <w:spacing w:beforeAutospacing="0" w:afterAutospacing="0" w:line="600" w:lineRule="exact"/>
        <w:ind w:firstLine="640" w:firstLineChars="200"/>
        <w:jc w:val="both"/>
        <w:rPr>
          <w:rFonts w:ascii="仿宋_GB2312" w:hAnsi="仿宋_GB2312" w:cs="仿宋_GB2312"/>
          <w:sz w:val="32"/>
          <w:szCs w:val="32"/>
        </w:rPr>
      </w:pPr>
      <w:r>
        <w:rPr>
          <w:rFonts w:hint="eastAsia" w:ascii="仿宋_GB2312" w:hAnsi="仿宋_GB2312" w:cs="仿宋_GB2312"/>
          <w:sz w:val="32"/>
          <w:szCs w:val="32"/>
        </w:rPr>
        <w:t>（三）部门整体支出绩效自评结果将在学校官网上进行公开公示，接受广大师生和社会的监督。</w:t>
      </w: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附件：2021年度项目支出绩效自评表</w:t>
      </w: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widowControl/>
        <w:jc w:val="left"/>
        <w:rPr>
          <w:rFonts w:ascii="Times New Roman" w:hAnsi="Times New Roman" w:eastAsia="黑体"/>
          <w:szCs w:val="32"/>
        </w:rPr>
      </w:pPr>
      <w:r>
        <w:rPr>
          <w:rFonts w:ascii="Times New Roman" w:hAnsi="Times New Roman" w:eastAsia="黑体"/>
          <w:szCs w:val="32"/>
        </w:rPr>
        <w:t>附件</w:t>
      </w:r>
    </w:p>
    <w:p>
      <w:pPr>
        <w:widowControl/>
        <w:spacing w:line="56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202</w:t>
      </w:r>
      <w:r>
        <w:rPr>
          <w:rFonts w:hint="eastAsia" w:ascii="Times New Roman" w:hAnsi="Times New Roman" w:eastAsia="方正小标宋_GBK"/>
          <w:kern w:val="0"/>
          <w:sz w:val="44"/>
          <w:szCs w:val="44"/>
        </w:rPr>
        <w:t>1</w:t>
      </w:r>
      <w:r>
        <w:rPr>
          <w:rFonts w:ascii="Times New Roman" w:hAnsi="Times New Roman" w:eastAsia="方正小标宋_GBK"/>
          <w:kern w:val="0"/>
          <w:sz w:val="44"/>
          <w:szCs w:val="44"/>
        </w:rPr>
        <w:t>年度项目支出绩效自评表</w:t>
      </w:r>
    </w:p>
    <w:tbl>
      <w:tblPr>
        <w:tblStyle w:val="4"/>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Align w:val="center"/>
          </w:tcPr>
          <w:p>
            <w:pPr>
              <w:widowControl/>
              <w:spacing w:line="260" w:lineRule="exact"/>
              <w:jc w:val="center"/>
              <w:rPr>
                <w:rFonts w:ascii="Times New Roman" w:hAnsi="Times New Roman"/>
                <w:kern w:val="0"/>
                <w:sz w:val="21"/>
                <w:szCs w:val="21"/>
              </w:rPr>
            </w:pPr>
            <w:r>
              <w:rPr>
                <w:rFonts w:ascii="Times New Roman" w:hAnsi="Times New Roman"/>
                <w:kern w:val="0"/>
                <w:sz w:val="21"/>
                <w:szCs w:val="21"/>
              </w:rPr>
              <w:t>项目名称</w:t>
            </w:r>
          </w:p>
        </w:tc>
        <w:tc>
          <w:tcPr>
            <w:tcW w:w="8771" w:type="dxa"/>
            <w:gridSpan w:val="8"/>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2021年益阳医学高等专科学校中职免学费项目支出绩效自评报告</w:t>
            </w: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0" w:type="dxa"/>
            <w:vAlign w:val="center"/>
          </w:tcPr>
          <w:p>
            <w:pPr>
              <w:widowControl/>
              <w:jc w:val="left"/>
              <w:rPr>
                <w:rFonts w:ascii="Times New Roman" w:hAnsi="Times New Roman"/>
                <w:kern w:val="0"/>
                <w:sz w:val="21"/>
                <w:szCs w:val="21"/>
              </w:rPr>
            </w:pPr>
            <w:r>
              <w:rPr>
                <w:rFonts w:ascii="Times New Roman" w:hAnsi="Times New Roman"/>
                <w:kern w:val="0"/>
                <w:sz w:val="21"/>
                <w:szCs w:val="21"/>
              </w:rPr>
              <w:t>主管部门</w:t>
            </w:r>
          </w:p>
        </w:tc>
        <w:tc>
          <w:tcPr>
            <w:tcW w:w="4518" w:type="dxa"/>
            <w:gridSpan w:val="4"/>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益阳市财政局</w:t>
            </w:r>
          </w:p>
        </w:tc>
        <w:tc>
          <w:tcPr>
            <w:tcW w:w="1134" w:type="dxa"/>
            <w:vAlign w:val="center"/>
          </w:tcPr>
          <w:p>
            <w:pPr>
              <w:widowControl/>
              <w:jc w:val="center"/>
              <w:rPr>
                <w:rFonts w:ascii="Times New Roman" w:hAnsi="Times New Roman"/>
                <w:kern w:val="0"/>
                <w:sz w:val="21"/>
                <w:szCs w:val="21"/>
              </w:rPr>
            </w:pPr>
            <w:r>
              <w:rPr>
                <w:rFonts w:ascii="Times New Roman" w:hAnsi="Times New Roman"/>
                <w:kern w:val="0"/>
                <w:sz w:val="21"/>
                <w:szCs w:val="21"/>
              </w:rPr>
              <w:t>实施单位</w:t>
            </w:r>
          </w:p>
        </w:tc>
        <w:tc>
          <w:tcPr>
            <w:tcW w:w="3119" w:type="dxa"/>
            <w:gridSpan w:val="3"/>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益阳医学高等专科学校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jc w:val="center"/>
              <w:rPr>
                <w:rFonts w:hint="eastAsia" w:ascii="Times New Roman" w:hAnsi="Times New Roman" w:eastAsia="仿宋_GB2312"/>
                <w:kern w:val="0"/>
                <w:sz w:val="21"/>
                <w:szCs w:val="21"/>
                <w:lang w:eastAsia="zh-CN"/>
              </w:rPr>
            </w:pPr>
            <w:r>
              <w:rPr>
                <w:rFonts w:ascii="Times New Roman" w:hAnsi="Times New Roman"/>
                <w:kern w:val="0"/>
                <w:sz w:val="21"/>
                <w:szCs w:val="21"/>
              </w:rPr>
              <w:t>项目资金</w:t>
            </w:r>
          </w:p>
          <w:p>
            <w:pPr>
              <w:widowControl/>
              <w:jc w:val="center"/>
              <w:rPr>
                <w:rFonts w:ascii="Times New Roman" w:hAnsi="Times New Roman"/>
                <w:kern w:val="0"/>
                <w:sz w:val="21"/>
                <w:szCs w:val="21"/>
              </w:rPr>
            </w:pPr>
            <w:r>
              <w:rPr>
                <w:rFonts w:ascii="Times New Roman" w:hAnsi="Times New Roman"/>
                <w:kern w:val="0"/>
                <w:sz w:val="21"/>
                <w:szCs w:val="21"/>
              </w:rPr>
              <w:t>（万元）</w:t>
            </w:r>
          </w:p>
        </w:tc>
        <w:tc>
          <w:tcPr>
            <w:tcW w:w="2160" w:type="dxa"/>
            <w:gridSpan w:val="2"/>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224" w:type="dxa"/>
            <w:vAlign w:val="center"/>
          </w:tcPr>
          <w:p>
            <w:pPr>
              <w:widowControl/>
              <w:jc w:val="center"/>
              <w:rPr>
                <w:rFonts w:ascii="Times New Roman" w:hAnsi="Times New Roman"/>
                <w:kern w:val="0"/>
                <w:sz w:val="21"/>
                <w:szCs w:val="21"/>
              </w:rPr>
            </w:pPr>
            <w:r>
              <w:rPr>
                <w:rFonts w:ascii="Times New Roman" w:hAnsi="Times New Roman"/>
                <w:kern w:val="0"/>
                <w:sz w:val="21"/>
                <w:szCs w:val="21"/>
              </w:rPr>
              <w:t>年初</w:t>
            </w:r>
          </w:p>
          <w:p>
            <w:pPr>
              <w:widowControl/>
              <w:jc w:val="center"/>
              <w:rPr>
                <w:rFonts w:ascii="Times New Roman" w:hAnsi="Times New Roman"/>
                <w:kern w:val="0"/>
                <w:sz w:val="21"/>
                <w:szCs w:val="21"/>
              </w:rPr>
            </w:pPr>
            <w:r>
              <w:rPr>
                <w:rFonts w:ascii="Times New Roman" w:hAnsi="Times New Roman"/>
                <w:kern w:val="0"/>
                <w:sz w:val="21"/>
                <w:szCs w:val="21"/>
              </w:rPr>
              <w:t>预算数</w:t>
            </w:r>
          </w:p>
        </w:tc>
        <w:tc>
          <w:tcPr>
            <w:tcW w:w="1134" w:type="dxa"/>
            <w:vAlign w:val="center"/>
          </w:tcPr>
          <w:p>
            <w:pPr>
              <w:widowControl/>
              <w:jc w:val="center"/>
              <w:rPr>
                <w:rFonts w:ascii="Times New Roman" w:hAnsi="Times New Roman"/>
                <w:kern w:val="0"/>
                <w:sz w:val="21"/>
                <w:szCs w:val="21"/>
              </w:rPr>
            </w:pPr>
            <w:r>
              <w:rPr>
                <w:rFonts w:ascii="Times New Roman" w:hAnsi="Times New Roman"/>
                <w:kern w:val="0"/>
                <w:sz w:val="21"/>
                <w:szCs w:val="21"/>
              </w:rPr>
              <w:t>全年</w:t>
            </w:r>
          </w:p>
          <w:p>
            <w:pPr>
              <w:widowControl/>
              <w:jc w:val="center"/>
              <w:rPr>
                <w:rFonts w:ascii="Times New Roman" w:hAnsi="Times New Roman"/>
                <w:kern w:val="0"/>
                <w:sz w:val="21"/>
                <w:szCs w:val="21"/>
              </w:rPr>
            </w:pPr>
            <w:r>
              <w:rPr>
                <w:rFonts w:ascii="Times New Roman" w:hAnsi="Times New Roman"/>
                <w:kern w:val="0"/>
                <w:sz w:val="21"/>
                <w:szCs w:val="21"/>
              </w:rPr>
              <w:t>预算数</w:t>
            </w:r>
          </w:p>
        </w:tc>
        <w:tc>
          <w:tcPr>
            <w:tcW w:w="1134" w:type="dxa"/>
            <w:vAlign w:val="center"/>
          </w:tcPr>
          <w:p>
            <w:pPr>
              <w:jc w:val="center"/>
              <w:rPr>
                <w:rFonts w:ascii="Times New Roman" w:hAnsi="Times New Roman"/>
                <w:sz w:val="21"/>
                <w:szCs w:val="21"/>
              </w:rPr>
            </w:pPr>
            <w:r>
              <w:rPr>
                <w:rFonts w:ascii="Times New Roman" w:hAnsi="Times New Roman"/>
                <w:sz w:val="21"/>
                <w:szCs w:val="21"/>
              </w:rPr>
              <w:t>全年</w:t>
            </w:r>
          </w:p>
          <w:p>
            <w:pPr>
              <w:jc w:val="center"/>
              <w:rPr>
                <w:rFonts w:ascii="Times New Roman" w:hAnsi="Times New Roman"/>
                <w:sz w:val="21"/>
                <w:szCs w:val="21"/>
              </w:rPr>
            </w:pPr>
            <w:r>
              <w:rPr>
                <w:rFonts w:ascii="Times New Roman" w:hAnsi="Times New Roman"/>
                <w:sz w:val="21"/>
                <w:szCs w:val="21"/>
              </w:rPr>
              <w:t>执行数</w:t>
            </w:r>
          </w:p>
        </w:tc>
        <w:tc>
          <w:tcPr>
            <w:tcW w:w="828" w:type="dxa"/>
            <w:vAlign w:val="center"/>
          </w:tcPr>
          <w:p>
            <w:pPr>
              <w:jc w:val="center"/>
              <w:rPr>
                <w:rFonts w:ascii="Times New Roman" w:hAnsi="Times New Roman"/>
                <w:sz w:val="21"/>
                <w:szCs w:val="21"/>
              </w:rPr>
            </w:pPr>
            <w:r>
              <w:rPr>
                <w:rFonts w:ascii="Times New Roman" w:hAnsi="Times New Roman"/>
                <w:sz w:val="21"/>
                <w:szCs w:val="21"/>
              </w:rPr>
              <w:t>分值</w:t>
            </w:r>
          </w:p>
        </w:tc>
        <w:tc>
          <w:tcPr>
            <w:tcW w:w="873" w:type="dxa"/>
            <w:vAlign w:val="center"/>
          </w:tcPr>
          <w:p>
            <w:pPr>
              <w:jc w:val="center"/>
              <w:rPr>
                <w:rFonts w:ascii="Times New Roman" w:hAnsi="Times New Roman"/>
                <w:sz w:val="21"/>
                <w:szCs w:val="21"/>
              </w:rPr>
            </w:pPr>
            <w:r>
              <w:rPr>
                <w:rFonts w:ascii="Times New Roman" w:hAnsi="Times New Roman"/>
                <w:sz w:val="21"/>
                <w:szCs w:val="21"/>
              </w:rPr>
              <w:t>执行率</w:t>
            </w:r>
          </w:p>
        </w:tc>
        <w:tc>
          <w:tcPr>
            <w:tcW w:w="1418" w:type="dxa"/>
            <w:vAlign w:val="center"/>
          </w:tcPr>
          <w:p>
            <w:pPr>
              <w:jc w:val="center"/>
              <w:rPr>
                <w:rFonts w:ascii="Times New Roman" w:hAnsi="Times New Roman"/>
                <w:sz w:val="21"/>
                <w:szCs w:val="21"/>
              </w:rPr>
            </w:pPr>
            <w:r>
              <w:rPr>
                <w:rFonts w:ascii="Times New Roman" w:hAnsi="Times New Roman"/>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jc w:val="left"/>
              <w:rPr>
                <w:rFonts w:ascii="Times New Roman" w:hAnsi="Times New Roman"/>
                <w:kern w:val="0"/>
                <w:sz w:val="21"/>
                <w:szCs w:val="21"/>
              </w:rPr>
            </w:pPr>
            <w:r>
              <w:rPr>
                <w:rFonts w:ascii="Times New Roman" w:hAnsi="Times New Roman"/>
                <w:kern w:val="0"/>
                <w:sz w:val="21"/>
                <w:szCs w:val="21"/>
              </w:rPr>
              <w:t>年度资金总额　</w:t>
            </w:r>
          </w:p>
        </w:tc>
        <w:tc>
          <w:tcPr>
            <w:tcW w:w="122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41.04</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41.04</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41.04</w:t>
            </w:r>
          </w:p>
        </w:tc>
        <w:tc>
          <w:tcPr>
            <w:tcW w:w="828" w:type="dxa"/>
            <w:vAlign w:val="center"/>
          </w:tcPr>
          <w:p>
            <w:pPr>
              <w:widowControl/>
              <w:jc w:val="center"/>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0分</w:t>
            </w:r>
          </w:p>
        </w:tc>
        <w:tc>
          <w:tcPr>
            <w:tcW w:w="873" w:type="dxa"/>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100%</w:t>
            </w:r>
          </w:p>
        </w:tc>
        <w:tc>
          <w:tcPr>
            <w:tcW w:w="1418" w:type="dxa"/>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jc w:val="left"/>
              <w:rPr>
                <w:rFonts w:ascii="Times New Roman" w:hAnsi="Times New Roman"/>
                <w:kern w:val="0"/>
                <w:sz w:val="21"/>
                <w:szCs w:val="21"/>
              </w:rPr>
            </w:pPr>
            <w:r>
              <w:rPr>
                <w:rFonts w:ascii="Times New Roman" w:hAnsi="Times New Roman"/>
                <w:kern w:val="0"/>
                <w:sz w:val="21"/>
                <w:szCs w:val="21"/>
              </w:rPr>
              <w:t>其中：当年财政拨款　</w:t>
            </w:r>
          </w:p>
        </w:tc>
        <w:tc>
          <w:tcPr>
            <w:tcW w:w="122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41.04</w:t>
            </w:r>
          </w:p>
        </w:tc>
        <w:tc>
          <w:tcPr>
            <w:tcW w:w="1134" w:type="dxa"/>
            <w:vAlign w:val="center"/>
          </w:tcPr>
          <w:p>
            <w:pPr>
              <w:widowControl/>
              <w:jc w:val="center"/>
              <w:rPr>
                <w:rFonts w:ascii="Times New Roman" w:hAnsi="Times New Roman"/>
                <w:kern w:val="0"/>
                <w:sz w:val="21"/>
                <w:szCs w:val="21"/>
              </w:rPr>
            </w:pPr>
            <w:r>
              <w:rPr>
                <w:rFonts w:hint="eastAsia" w:ascii="Times New Roman" w:hAnsi="Times New Roman"/>
                <w:kern w:val="0"/>
                <w:sz w:val="21"/>
                <w:szCs w:val="21"/>
              </w:rPr>
              <w:t>41.04</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2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73"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41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ind w:firstLine="630" w:firstLineChars="300"/>
              <w:jc w:val="left"/>
              <w:rPr>
                <w:rFonts w:ascii="Times New Roman" w:hAnsi="Times New Roman"/>
                <w:kern w:val="0"/>
                <w:sz w:val="21"/>
                <w:szCs w:val="21"/>
              </w:rPr>
            </w:pPr>
            <w:r>
              <w:rPr>
                <w:rFonts w:ascii="Times New Roman" w:hAnsi="Times New Roman"/>
                <w:kern w:val="0"/>
                <w:sz w:val="21"/>
                <w:szCs w:val="21"/>
              </w:rPr>
              <w:t>上年结转资金　</w:t>
            </w:r>
          </w:p>
        </w:tc>
        <w:tc>
          <w:tcPr>
            <w:tcW w:w="122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2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73"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41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widowControl/>
              <w:jc w:val="left"/>
              <w:rPr>
                <w:rFonts w:ascii="Times New Roman" w:hAnsi="Times New Roman"/>
                <w:kern w:val="0"/>
                <w:sz w:val="21"/>
                <w:szCs w:val="21"/>
              </w:rPr>
            </w:pPr>
          </w:p>
        </w:tc>
        <w:tc>
          <w:tcPr>
            <w:tcW w:w="2160" w:type="dxa"/>
            <w:gridSpan w:val="2"/>
            <w:vAlign w:val="center"/>
          </w:tcPr>
          <w:p>
            <w:pPr>
              <w:widowControl/>
              <w:ind w:firstLine="630" w:firstLineChars="300"/>
              <w:jc w:val="left"/>
              <w:rPr>
                <w:rFonts w:ascii="Times New Roman" w:hAnsi="Times New Roman"/>
                <w:kern w:val="0"/>
                <w:sz w:val="21"/>
                <w:szCs w:val="21"/>
              </w:rPr>
            </w:pPr>
            <w:r>
              <w:rPr>
                <w:rFonts w:ascii="Times New Roman" w:hAnsi="Times New Roman"/>
                <w:kern w:val="0"/>
                <w:sz w:val="21"/>
                <w:szCs w:val="21"/>
              </w:rPr>
              <w:t>其他资金</w:t>
            </w:r>
          </w:p>
        </w:tc>
        <w:tc>
          <w:tcPr>
            <w:tcW w:w="122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134"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2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873"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c>
          <w:tcPr>
            <w:tcW w:w="1418" w:type="dxa"/>
            <w:vAlign w:val="center"/>
          </w:tcPr>
          <w:p>
            <w:pPr>
              <w:widowControl/>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jc w:val="center"/>
              <w:rPr>
                <w:rFonts w:ascii="Times New Roman" w:hAnsi="Times New Roman"/>
                <w:kern w:val="0"/>
                <w:sz w:val="21"/>
                <w:szCs w:val="21"/>
              </w:rPr>
            </w:pPr>
            <w:r>
              <w:rPr>
                <w:rFonts w:ascii="Times New Roman" w:hAnsi="Times New Roman"/>
                <w:kern w:val="0"/>
                <w:sz w:val="21"/>
                <w:szCs w:val="21"/>
              </w:rPr>
              <w:t>年度总体目标</w:t>
            </w:r>
          </w:p>
        </w:tc>
        <w:tc>
          <w:tcPr>
            <w:tcW w:w="4518" w:type="dxa"/>
            <w:gridSpan w:val="4"/>
            <w:vAlign w:val="center"/>
          </w:tcPr>
          <w:p>
            <w:pPr>
              <w:widowControl/>
              <w:jc w:val="center"/>
              <w:rPr>
                <w:rFonts w:ascii="Times New Roman" w:hAnsi="Times New Roman"/>
                <w:kern w:val="0"/>
                <w:sz w:val="21"/>
                <w:szCs w:val="21"/>
              </w:rPr>
            </w:pPr>
            <w:r>
              <w:rPr>
                <w:rFonts w:ascii="Times New Roman" w:hAnsi="Times New Roman"/>
                <w:kern w:val="0"/>
                <w:sz w:val="21"/>
                <w:szCs w:val="21"/>
              </w:rPr>
              <w:t>预期目标</w:t>
            </w:r>
          </w:p>
        </w:tc>
        <w:tc>
          <w:tcPr>
            <w:tcW w:w="4253" w:type="dxa"/>
            <w:gridSpan w:val="4"/>
            <w:vAlign w:val="center"/>
          </w:tcPr>
          <w:p>
            <w:pPr>
              <w:widowControl/>
              <w:jc w:val="center"/>
              <w:rPr>
                <w:rFonts w:ascii="Times New Roman" w:hAnsi="Times New Roman"/>
                <w:kern w:val="0"/>
                <w:sz w:val="21"/>
                <w:szCs w:val="21"/>
              </w:rPr>
            </w:pPr>
            <w:r>
              <w:rPr>
                <w:rFonts w:ascii="Times New Roman" w:hAnsi="Times New Roman"/>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Merge w:val="continue"/>
            <w:vAlign w:val="center"/>
          </w:tcPr>
          <w:p>
            <w:pPr>
              <w:widowControl/>
              <w:jc w:val="left"/>
              <w:rPr>
                <w:rFonts w:ascii="Times New Roman" w:hAnsi="Times New Roman"/>
                <w:kern w:val="0"/>
                <w:sz w:val="21"/>
                <w:szCs w:val="21"/>
              </w:rPr>
            </w:pPr>
          </w:p>
        </w:tc>
        <w:tc>
          <w:tcPr>
            <w:tcW w:w="4518" w:type="dxa"/>
            <w:gridSpan w:val="4"/>
            <w:vAlign w:val="center"/>
          </w:tcPr>
          <w:p>
            <w:pPr>
              <w:widowControl/>
              <w:rPr>
                <w:rFonts w:ascii="Times New Roman" w:hAnsi="Times New Roman"/>
                <w:kern w:val="0"/>
                <w:sz w:val="21"/>
                <w:szCs w:val="21"/>
              </w:rPr>
            </w:pPr>
            <w:r>
              <w:rPr>
                <w:rFonts w:hint="eastAsia" w:ascii="Times New Roman" w:hAnsi="Times New Roman"/>
                <w:kern w:val="0"/>
                <w:sz w:val="21"/>
                <w:szCs w:val="21"/>
              </w:rPr>
              <w:t>1.严格执行国家中职学生免学费政策，严肃财经纪律，落实好资助政策；</w:t>
            </w:r>
          </w:p>
          <w:p>
            <w:pPr>
              <w:widowControl/>
              <w:jc w:val="left"/>
              <w:rPr>
                <w:rFonts w:ascii="Times New Roman" w:hAnsi="Times New Roman"/>
                <w:kern w:val="0"/>
                <w:sz w:val="21"/>
                <w:szCs w:val="21"/>
              </w:rPr>
            </w:pPr>
            <w:r>
              <w:rPr>
                <w:rFonts w:hint="eastAsia" w:ascii="Times New Roman" w:hAnsi="Times New Roman"/>
                <w:kern w:val="0"/>
                <w:sz w:val="21"/>
                <w:szCs w:val="21"/>
              </w:rPr>
              <w:t>2.加大宣传力度，落实中职学校免学费资助政策；</w:t>
            </w:r>
          </w:p>
          <w:p>
            <w:pPr>
              <w:widowControl/>
              <w:jc w:val="left"/>
              <w:rPr>
                <w:rFonts w:ascii="Times New Roman" w:hAnsi="Times New Roman"/>
                <w:kern w:val="0"/>
                <w:sz w:val="21"/>
                <w:szCs w:val="21"/>
              </w:rPr>
            </w:pPr>
            <w:r>
              <w:rPr>
                <w:rFonts w:hint="eastAsia" w:ascii="Times New Roman" w:hAnsi="Times New Roman"/>
                <w:kern w:val="0"/>
                <w:sz w:val="21"/>
                <w:szCs w:val="21"/>
              </w:rPr>
              <w:t>3.合理使用资助资金，保障资金安全，及时下达资金，督促学校使用中职资金来改善中职学生的教学、实验实训等方面。</w:t>
            </w:r>
          </w:p>
        </w:tc>
        <w:tc>
          <w:tcPr>
            <w:tcW w:w="4253" w:type="dxa"/>
            <w:gridSpan w:val="4"/>
            <w:vAlign w:val="center"/>
          </w:tcPr>
          <w:p>
            <w:pPr>
              <w:widowControl/>
              <w:jc w:val="left"/>
              <w:rPr>
                <w:rFonts w:ascii="Times New Roman" w:hAnsi="Times New Roman"/>
                <w:kern w:val="0"/>
                <w:sz w:val="21"/>
                <w:szCs w:val="21"/>
              </w:rPr>
            </w:pPr>
            <w:bookmarkStart w:id="0" w:name="_GoBack"/>
            <w:r>
              <w:rPr>
                <w:rFonts w:hint="eastAsia" w:ascii="Times New Roman" w:hAnsi="Times New Roman"/>
                <w:kern w:val="0"/>
                <w:sz w:val="21"/>
                <w:szCs w:val="21"/>
              </w:rPr>
              <w:t>1.确保在校在籍学生确保学生免学费政策；</w:t>
            </w:r>
          </w:p>
          <w:p>
            <w:pPr>
              <w:widowControl/>
              <w:jc w:val="left"/>
              <w:rPr>
                <w:rFonts w:ascii="Times New Roman" w:hAnsi="Times New Roman"/>
                <w:kern w:val="0"/>
                <w:sz w:val="21"/>
                <w:szCs w:val="21"/>
              </w:rPr>
            </w:pPr>
            <w:r>
              <w:rPr>
                <w:rFonts w:hint="eastAsia" w:ascii="Times New Roman" w:hAnsi="Times New Roman"/>
                <w:kern w:val="0"/>
                <w:sz w:val="21"/>
                <w:szCs w:val="21"/>
              </w:rPr>
              <w:t>2.跟进宣传力度，保障文件</w:t>
            </w:r>
          </w:p>
          <w:p>
            <w:pPr>
              <w:widowControl/>
              <w:jc w:val="left"/>
              <w:rPr>
                <w:rFonts w:ascii="Times New Roman" w:hAnsi="Times New Roman"/>
                <w:kern w:val="0"/>
                <w:sz w:val="21"/>
                <w:szCs w:val="21"/>
              </w:rPr>
            </w:pPr>
            <w:r>
              <w:rPr>
                <w:rFonts w:hint="eastAsia" w:ascii="Times New Roman" w:hAnsi="Times New Roman"/>
                <w:kern w:val="0"/>
                <w:sz w:val="21"/>
                <w:szCs w:val="21"/>
              </w:rPr>
              <w:t>2.所收到的财政专项资金用于了中职学生的教学、生活、实验实训等各方面。</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widowControl/>
              <w:jc w:val="center"/>
              <w:rPr>
                <w:rFonts w:ascii="Times New Roman" w:hAnsi="Times New Roman"/>
                <w:kern w:val="0"/>
                <w:sz w:val="21"/>
                <w:szCs w:val="21"/>
              </w:rPr>
            </w:pPr>
            <w:r>
              <w:rPr>
                <w:rFonts w:ascii="Times New Roman" w:hAnsi="Times New Roman"/>
                <w:kern w:val="0"/>
                <w:sz w:val="21"/>
                <w:szCs w:val="21"/>
              </w:rPr>
              <w:t>绩</w:t>
            </w:r>
          </w:p>
          <w:p>
            <w:pPr>
              <w:widowControl/>
              <w:jc w:val="center"/>
              <w:rPr>
                <w:rFonts w:ascii="Times New Roman" w:hAnsi="Times New Roman"/>
                <w:kern w:val="0"/>
                <w:sz w:val="21"/>
                <w:szCs w:val="21"/>
              </w:rPr>
            </w:pPr>
            <w:r>
              <w:rPr>
                <w:rFonts w:ascii="Times New Roman" w:hAnsi="Times New Roman"/>
                <w:kern w:val="0"/>
                <w:sz w:val="21"/>
                <w:szCs w:val="21"/>
              </w:rPr>
              <w:t>效</w:t>
            </w:r>
          </w:p>
          <w:p>
            <w:pPr>
              <w:widowControl/>
              <w:jc w:val="center"/>
              <w:rPr>
                <w:rFonts w:ascii="Times New Roman" w:hAnsi="Times New Roman"/>
                <w:kern w:val="0"/>
                <w:sz w:val="21"/>
                <w:szCs w:val="21"/>
              </w:rPr>
            </w:pPr>
            <w:r>
              <w:rPr>
                <w:rFonts w:ascii="Times New Roman" w:hAnsi="Times New Roman"/>
                <w:kern w:val="0"/>
                <w:sz w:val="21"/>
                <w:szCs w:val="21"/>
              </w:rPr>
              <w:t>指</w:t>
            </w:r>
          </w:p>
          <w:p>
            <w:pPr>
              <w:widowControl/>
              <w:jc w:val="center"/>
              <w:rPr>
                <w:rFonts w:ascii="Times New Roman" w:hAnsi="Times New Roman"/>
                <w:kern w:val="0"/>
                <w:sz w:val="21"/>
                <w:szCs w:val="21"/>
              </w:rPr>
            </w:pPr>
            <w:r>
              <w:rPr>
                <w:rFonts w:ascii="Times New Roman" w:hAnsi="Times New Roman"/>
                <w:kern w:val="0"/>
                <w:sz w:val="21"/>
                <w:szCs w:val="21"/>
              </w:rPr>
              <w:t>标</w:t>
            </w:r>
          </w:p>
          <w:p>
            <w:pPr>
              <w:widowControl/>
              <w:jc w:val="center"/>
              <w:rPr>
                <w:rFonts w:ascii="Times New Roman" w:hAnsi="Times New Roman"/>
                <w:kern w:val="0"/>
                <w:sz w:val="21"/>
                <w:szCs w:val="21"/>
              </w:rPr>
            </w:pPr>
          </w:p>
        </w:tc>
        <w:tc>
          <w:tcPr>
            <w:tcW w:w="1080"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一级指标</w:t>
            </w:r>
          </w:p>
        </w:tc>
        <w:tc>
          <w:tcPr>
            <w:tcW w:w="1080"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二级指标</w:t>
            </w:r>
          </w:p>
        </w:tc>
        <w:tc>
          <w:tcPr>
            <w:tcW w:w="1224"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三级指标</w:t>
            </w:r>
          </w:p>
        </w:tc>
        <w:tc>
          <w:tcPr>
            <w:tcW w:w="1134"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年度</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指标值</w:t>
            </w:r>
          </w:p>
        </w:tc>
        <w:tc>
          <w:tcPr>
            <w:tcW w:w="1134"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实际</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完成值</w:t>
            </w:r>
          </w:p>
        </w:tc>
        <w:tc>
          <w:tcPr>
            <w:tcW w:w="828"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分值</w:t>
            </w:r>
          </w:p>
        </w:tc>
        <w:tc>
          <w:tcPr>
            <w:tcW w:w="873"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得分</w:t>
            </w:r>
          </w:p>
        </w:tc>
        <w:tc>
          <w:tcPr>
            <w:tcW w:w="1418" w:type="dxa"/>
            <w:vAlign w:val="center"/>
          </w:tcPr>
          <w:p>
            <w:pPr>
              <w:widowControl/>
              <w:spacing w:line="240" w:lineRule="exact"/>
              <w:jc w:val="center"/>
              <w:rPr>
                <w:rFonts w:ascii="Times New Roman" w:hAnsi="Times New Roman"/>
                <w:kern w:val="0"/>
                <w:sz w:val="21"/>
                <w:szCs w:val="21"/>
              </w:rPr>
            </w:pPr>
            <w:r>
              <w:rPr>
                <w:rFonts w:ascii="Times New Roman" w:hAnsi="Times New Roman"/>
                <w:kern w:val="0"/>
                <w:sz w:val="21"/>
                <w:szCs w:val="21"/>
              </w:rPr>
              <w:t>偏差原因</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分析及</w:t>
            </w:r>
          </w:p>
          <w:p>
            <w:pPr>
              <w:widowControl/>
              <w:spacing w:line="240" w:lineRule="exact"/>
              <w:jc w:val="center"/>
              <w:rPr>
                <w:rFonts w:ascii="Times New Roman" w:hAnsi="Times New Roman"/>
                <w:kern w:val="0"/>
                <w:sz w:val="21"/>
                <w:szCs w:val="21"/>
              </w:rPr>
            </w:pPr>
            <w:r>
              <w:rPr>
                <w:rFonts w:ascii="Times New Roman" w:hAnsi="Times New Roman"/>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restart"/>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产出指标（50分）</w:t>
            </w:r>
          </w:p>
        </w:tc>
        <w:tc>
          <w:tcPr>
            <w:tcW w:w="1080" w:type="dxa"/>
            <w:vMerge w:val="restart"/>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数量指标</w:t>
            </w:r>
          </w:p>
        </w:tc>
        <w:tc>
          <w:tcPr>
            <w:tcW w:w="1224" w:type="dxa"/>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指标1：资助免学费总人数</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339人</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339人</w:t>
            </w:r>
          </w:p>
        </w:tc>
        <w:tc>
          <w:tcPr>
            <w:tcW w:w="82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20</w:t>
            </w:r>
          </w:p>
        </w:tc>
        <w:tc>
          <w:tcPr>
            <w:tcW w:w="873"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20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center"/>
              <w:rPr>
                <w:rFonts w:ascii="Times New Roman" w:hAnsi="Times New Roman"/>
                <w:kern w:val="0"/>
                <w:sz w:val="21"/>
                <w:szCs w:val="21"/>
              </w:rPr>
            </w:pP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w:t>
            </w:r>
            <w:r>
              <w:rPr>
                <w:rFonts w:hint="eastAsia" w:ascii="Times New Roman" w:hAnsi="Times New Roman"/>
                <w:kern w:val="0"/>
                <w:sz w:val="21"/>
                <w:szCs w:val="21"/>
              </w:rPr>
              <w:t>2</w:t>
            </w:r>
            <w:r>
              <w:rPr>
                <w:rFonts w:ascii="Times New Roman" w:hAnsi="Times New Roman"/>
                <w:kern w:val="0"/>
                <w:sz w:val="21"/>
                <w:szCs w:val="21"/>
              </w:rPr>
              <w:t>：</w:t>
            </w:r>
            <w:r>
              <w:rPr>
                <w:rFonts w:hint="eastAsia" w:ascii="Times New Roman" w:hAnsi="Times New Roman"/>
                <w:kern w:val="0"/>
                <w:sz w:val="21"/>
                <w:szCs w:val="21"/>
              </w:rPr>
              <w:t>资助免学费总资金</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40.14万</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40.14万</w:t>
            </w:r>
          </w:p>
        </w:tc>
        <w:tc>
          <w:tcPr>
            <w:tcW w:w="82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20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20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成本指标</w:t>
            </w: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w:t>
            </w:r>
            <w:r>
              <w:rPr>
                <w:rFonts w:hint="eastAsia" w:ascii="Times New Roman" w:hAnsi="Times New Roman"/>
                <w:kern w:val="0"/>
                <w:sz w:val="21"/>
                <w:szCs w:val="21"/>
              </w:rPr>
              <w:t>3</w:t>
            </w:r>
            <w:r>
              <w:rPr>
                <w:rFonts w:ascii="Times New Roman" w:hAnsi="Times New Roman"/>
                <w:kern w:val="0"/>
                <w:sz w:val="21"/>
                <w:szCs w:val="21"/>
              </w:rPr>
              <w:t>：</w:t>
            </w:r>
            <w:r>
              <w:rPr>
                <w:rFonts w:hint="eastAsia" w:ascii="Times New Roman" w:hAnsi="Times New Roman"/>
                <w:kern w:val="0"/>
                <w:sz w:val="21"/>
                <w:szCs w:val="21"/>
              </w:rPr>
              <w:t>中职学生免学费标准</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2400元/生/年</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2400元/生/年</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restart"/>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效益指标</w:t>
            </w:r>
          </w:p>
          <w:p>
            <w:pPr>
              <w:widowControl/>
              <w:spacing w:line="280" w:lineRule="exact"/>
              <w:jc w:val="left"/>
              <w:rPr>
                <w:rFonts w:ascii="Times New Roman" w:hAnsi="Times New Roman"/>
                <w:kern w:val="0"/>
                <w:sz w:val="21"/>
                <w:szCs w:val="21"/>
              </w:rPr>
            </w:pPr>
          </w:p>
          <w:p>
            <w:pPr>
              <w:widowControl/>
              <w:spacing w:line="280" w:lineRule="exact"/>
              <w:jc w:val="left"/>
              <w:rPr>
                <w:rFonts w:ascii="Times New Roman" w:hAnsi="Times New Roman"/>
                <w:kern w:val="0"/>
                <w:sz w:val="21"/>
                <w:szCs w:val="21"/>
              </w:rPr>
            </w:pPr>
            <w:r>
              <w:rPr>
                <w:rFonts w:ascii="Times New Roman" w:hAnsi="Times New Roman"/>
                <w:kern w:val="0"/>
                <w:sz w:val="21"/>
                <w:szCs w:val="21"/>
              </w:rPr>
              <w:t>（</w:t>
            </w:r>
            <w:r>
              <w:rPr>
                <w:rFonts w:hint="eastAsia" w:ascii="Times New Roman" w:hAnsi="Times New Roman"/>
                <w:kern w:val="0"/>
                <w:sz w:val="21"/>
                <w:szCs w:val="21"/>
              </w:rPr>
              <w:t>4</w:t>
            </w:r>
            <w:r>
              <w:rPr>
                <w:rFonts w:ascii="Times New Roman" w:hAnsi="Times New Roman"/>
                <w:kern w:val="0"/>
                <w:sz w:val="21"/>
                <w:szCs w:val="21"/>
              </w:rPr>
              <w:t>0分）</w:t>
            </w:r>
          </w:p>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p>
            <w:pPr>
              <w:widowControl/>
              <w:spacing w:line="280" w:lineRule="exact"/>
              <w:jc w:val="center"/>
              <w:rPr>
                <w:rFonts w:ascii="Times New Roman" w:hAnsi="Times New Roman"/>
                <w:kern w:val="0"/>
                <w:sz w:val="21"/>
                <w:szCs w:val="21"/>
              </w:rPr>
            </w:pPr>
          </w:p>
        </w:tc>
        <w:tc>
          <w:tcPr>
            <w:tcW w:w="1080" w:type="dxa"/>
            <w:vMerge w:val="restart"/>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社会效</w:t>
            </w:r>
          </w:p>
          <w:p>
            <w:pPr>
              <w:widowControl/>
              <w:spacing w:line="280" w:lineRule="exact"/>
              <w:jc w:val="center"/>
              <w:rPr>
                <w:rFonts w:ascii="Times New Roman" w:hAnsi="Times New Roman"/>
                <w:kern w:val="0"/>
                <w:sz w:val="21"/>
                <w:szCs w:val="21"/>
              </w:rPr>
            </w:pPr>
            <w:r>
              <w:rPr>
                <w:rFonts w:ascii="Times New Roman" w:hAnsi="Times New Roman"/>
                <w:kern w:val="0"/>
                <w:sz w:val="21"/>
                <w:szCs w:val="21"/>
              </w:rPr>
              <w:t>益指标</w:t>
            </w: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指标1：</w:t>
            </w:r>
            <w:r>
              <w:rPr>
                <w:rFonts w:hint="eastAsia" w:ascii="Times New Roman" w:hAnsi="Times New Roman"/>
                <w:kern w:val="0"/>
                <w:sz w:val="21"/>
                <w:szCs w:val="21"/>
              </w:rPr>
              <w:t>减轻贫困学生家庭负担，确保贫困家庭子女完成中职学业</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有效</w:t>
            </w:r>
          </w:p>
        </w:tc>
        <w:tc>
          <w:tcPr>
            <w:tcW w:w="1134" w:type="dxa"/>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效果明显</w:t>
            </w:r>
            <w:r>
              <w:rPr>
                <w:rFonts w:ascii="Times New Roman" w:hAnsi="Times New Roman"/>
                <w:kern w:val="0"/>
                <w:sz w:val="21"/>
                <w:szCs w:val="21"/>
              </w:rPr>
              <w:t>　</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center"/>
              <w:rPr>
                <w:rFonts w:ascii="Times New Roman" w:hAnsi="Times New Roman"/>
                <w:kern w:val="0"/>
                <w:sz w:val="21"/>
                <w:szCs w:val="21"/>
              </w:rPr>
            </w:pP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指标2：</w:t>
            </w:r>
            <w:r>
              <w:rPr>
                <w:rFonts w:hint="eastAsia" w:ascii="Times New Roman" w:hAnsi="Times New Roman"/>
                <w:kern w:val="0"/>
                <w:sz w:val="21"/>
                <w:szCs w:val="21"/>
              </w:rPr>
              <w:t>减轻建档立卡贫困学生家庭负担，确保学生顺利完成学业</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有效</w:t>
            </w:r>
          </w:p>
        </w:tc>
        <w:tc>
          <w:tcPr>
            <w:tcW w:w="1134" w:type="dxa"/>
            <w:vAlign w:val="center"/>
          </w:tcPr>
          <w:p>
            <w:pPr>
              <w:widowControl/>
              <w:spacing w:line="280" w:lineRule="exact"/>
              <w:jc w:val="left"/>
              <w:rPr>
                <w:rFonts w:ascii="Times New Roman" w:hAnsi="Times New Roman"/>
                <w:kern w:val="0"/>
                <w:sz w:val="21"/>
                <w:szCs w:val="21"/>
              </w:rPr>
            </w:pPr>
            <w:r>
              <w:rPr>
                <w:rFonts w:hint="eastAsia" w:ascii="Times New Roman" w:hAnsi="Times New Roman"/>
                <w:kern w:val="0"/>
                <w:sz w:val="21"/>
                <w:szCs w:val="21"/>
              </w:rPr>
              <w:t>效果明显</w:t>
            </w:r>
            <w:r>
              <w:rPr>
                <w:rFonts w:ascii="Times New Roman" w:hAnsi="Times New Roman"/>
                <w:kern w:val="0"/>
                <w:sz w:val="21"/>
                <w:szCs w:val="21"/>
              </w:rPr>
              <w:t>　</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center"/>
              <w:rPr>
                <w:rFonts w:ascii="Times New Roman" w:hAnsi="Times New Roman"/>
                <w:kern w:val="0"/>
                <w:sz w:val="21"/>
                <w:szCs w:val="21"/>
              </w:rPr>
            </w:pPr>
          </w:p>
        </w:tc>
        <w:tc>
          <w:tcPr>
            <w:tcW w:w="1080" w:type="dxa"/>
            <w:vMerge w:val="restart"/>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服务对象满意度指标</w:t>
            </w: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指标1：</w:t>
            </w:r>
            <w:r>
              <w:rPr>
                <w:rFonts w:hint="eastAsia" w:ascii="Times New Roman" w:hAnsi="Times New Roman"/>
                <w:kern w:val="0"/>
                <w:sz w:val="21"/>
                <w:szCs w:val="21"/>
              </w:rPr>
              <w:t>受助学生家长满意度</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98%以上</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97%</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9.5</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部分家长未能切实感受到中职免学费资金使用，我校需加大资金使用宣传力度和公开公示。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pPr>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080" w:type="dxa"/>
            <w:vMerge w:val="continue"/>
            <w:vAlign w:val="center"/>
          </w:tcPr>
          <w:p>
            <w:pPr>
              <w:widowControl/>
              <w:spacing w:line="280" w:lineRule="exact"/>
              <w:jc w:val="left"/>
              <w:rPr>
                <w:rFonts w:ascii="Times New Roman" w:hAnsi="Times New Roman"/>
                <w:kern w:val="0"/>
                <w:sz w:val="21"/>
                <w:szCs w:val="21"/>
              </w:rPr>
            </w:pPr>
          </w:p>
        </w:tc>
        <w:tc>
          <w:tcPr>
            <w:tcW w:w="122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指标2：</w:t>
            </w:r>
            <w:r>
              <w:rPr>
                <w:rFonts w:hint="eastAsia" w:ascii="Times New Roman" w:hAnsi="Times New Roman"/>
                <w:kern w:val="0"/>
                <w:sz w:val="21"/>
                <w:szCs w:val="21"/>
              </w:rPr>
              <w:t>受助学生满意度</w:t>
            </w:r>
          </w:p>
        </w:tc>
        <w:tc>
          <w:tcPr>
            <w:tcW w:w="1134"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98%以上</w:t>
            </w:r>
          </w:p>
        </w:tc>
        <w:tc>
          <w:tcPr>
            <w:tcW w:w="1134"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98%</w:t>
            </w:r>
          </w:p>
        </w:tc>
        <w:tc>
          <w:tcPr>
            <w:tcW w:w="828"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873" w:type="dxa"/>
            <w:vAlign w:val="center"/>
          </w:tcPr>
          <w:p>
            <w:pPr>
              <w:widowControl/>
              <w:spacing w:line="280" w:lineRule="exact"/>
              <w:jc w:val="center"/>
              <w:rPr>
                <w:rFonts w:ascii="Times New Roman" w:hAnsi="Times New Roman"/>
                <w:kern w:val="0"/>
                <w:sz w:val="21"/>
                <w:szCs w:val="21"/>
              </w:rPr>
            </w:pPr>
            <w:r>
              <w:rPr>
                <w:rFonts w:hint="eastAsia" w:ascii="Times New Roman" w:hAnsi="Times New Roman"/>
                <w:kern w:val="0"/>
                <w:sz w:val="21"/>
                <w:szCs w:val="21"/>
              </w:rPr>
              <w:t>10</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732" w:type="dxa"/>
            <w:gridSpan w:val="6"/>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总分</w:t>
            </w:r>
          </w:p>
        </w:tc>
        <w:tc>
          <w:tcPr>
            <w:tcW w:w="828" w:type="dxa"/>
            <w:vAlign w:val="center"/>
          </w:tcPr>
          <w:p>
            <w:pPr>
              <w:widowControl/>
              <w:spacing w:line="280" w:lineRule="exact"/>
              <w:jc w:val="center"/>
              <w:rPr>
                <w:rFonts w:ascii="Times New Roman" w:hAnsi="Times New Roman"/>
                <w:kern w:val="0"/>
                <w:sz w:val="21"/>
                <w:szCs w:val="21"/>
              </w:rPr>
            </w:pPr>
            <w:r>
              <w:rPr>
                <w:rFonts w:ascii="Times New Roman" w:hAnsi="Times New Roman"/>
                <w:kern w:val="0"/>
                <w:sz w:val="21"/>
                <w:szCs w:val="21"/>
              </w:rPr>
              <w:t>100</w:t>
            </w:r>
            <w:r>
              <w:rPr>
                <w:rFonts w:hint="eastAsia" w:ascii="Times New Roman" w:hAnsi="Times New Roman"/>
                <w:kern w:val="0"/>
                <w:sz w:val="21"/>
                <w:szCs w:val="21"/>
              </w:rPr>
              <w:t>分</w:t>
            </w:r>
          </w:p>
        </w:tc>
        <w:tc>
          <w:tcPr>
            <w:tcW w:w="873"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r>
              <w:rPr>
                <w:rFonts w:hint="eastAsia" w:ascii="Times New Roman" w:hAnsi="Times New Roman"/>
                <w:kern w:val="0"/>
                <w:sz w:val="21"/>
                <w:szCs w:val="21"/>
              </w:rPr>
              <w:t>99.5</w:t>
            </w:r>
          </w:p>
        </w:tc>
        <w:tc>
          <w:tcPr>
            <w:tcW w:w="1418" w:type="dxa"/>
            <w:vAlign w:val="center"/>
          </w:tcPr>
          <w:p>
            <w:pPr>
              <w:widowControl/>
              <w:spacing w:line="280" w:lineRule="exact"/>
              <w:jc w:val="left"/>
              <w:rPr>
                <w:rFonts w:ascii="Times New Roman" w:hAnsi="Times New Roman"/>
                <w:kern w:val="0"/>
                <w:sz w:val="21"/>
                <w:szCs w:val="21"/>
              </w:rPr>
            </w:pPr>
            <w:r>
              <w:rPr>
                <w:rFonts w:ascii="Times New Roman" w:hAnsi="Times New Roman"/>
                <w:kern w:val="0"/>
                <w:sz w:val="21"/>
                <w:szCs w:val="21"/>
              </w:rPr>
              <w:t>　</w:t>
            </w:r>
          </w:p>
        </w:tc>
      </w:tr>
    </w:tbl>
    <w:p>
      <w:r>
        <w:rPr>
          <w:rFonts w:ascii="Times New Roman" w:hAnsi="Times New Roman"/>
          <w:kern w:val="0"/>
          <w:sz w:val="21"/>
          <w:szCs w:val="21"/>
        </w:rPr>
        <w:t>填表人：</w:t>
      </w:r>
      <w:r>
        <w:rPr>
          <w:rFonts w:hint="eastAsia" w:ascii="Times New Roman" w:hAnsi="Times New Roman"/>
          <w:kern w:val="0"/>
          <w:sz w:val="21"/>
          <w:szCs w:val="21"/>
        </w:rPr>
        <w:t>黄子倩</w:t>
      </w:r>
      <w:r>
        <w:rPr>
          <w:rFonts w:ascii="Times New Roman" w:hAnsi="Times New Roman"/>
          <w:kern w:val="0"/>
          <w:sz w:val="21"/>
          <w:szCs w:val="21"/>
        </w:rPr>
        <w:t xml:space="preserve">    填报日期：</w:t>
      </w:r>
      <w:r>
        <w:rPr>
          <w:rFonts w:hint="eastAsia" w:ascii="Times New Roman" w:hAnsi="Times New Roman"/>
          <w:kern w:val="0"/>
          <w:sz w:val="21"/>
          <w:szCs w:val="21"/>
        </w:rPr>
        <w:t>2022.04.16</w:t>
      </w:r>
      <w:r>
        <w:rPr>
          <w:rFonts w:ascii="Times New Roman" w:hAnsi="Times New Roman"/>
          <w:kern w:val="0"/>
          <w:sz w:val="21"/>
          <w:szCs w:val="21"/>
        </w:rPr>
        <w:t xml:space="preserve">    联系电话：</w:t>
      </w:r>
      <w:r>
        <w:rPr>
          <w:rFonts w:hint="eastAsia" w:ascii="Times New Roman" w:hAnsi="Times New Roman"/>
          <w:kern w:val="0"/>
          <w:sz w:val="21"/>
          <w:szCs w:val="21"/>
        </w:rPr>
        <w:t>18773771885</w:t>
      </w:r>
      <w:r>
        <w:rPr>
          <w:rFonts w:ascii="Times New Roman" w:hAnsi="Times New Roman"/>
          <w:kern w:val="0"/>
          <w:sz w:val="21"/>
          <w:szCs w:val="21"/>
        </w:rPr>
        <w:t xml:space="preserve">    单位负责人签字：</w:t>
      </w:r>
    </w:p>
    <w:p/>
    <w:p>
      <w:pPr>
        <w:pStyle w:val="6"/>
        <w:shd w:val="clear" w:color="auto" w:fill="FFFFFF"/>
        <w:spacing w:beforeAutospacing="0" w:afterAutospacing="0" w:line="600" w:lineRule="exact"/>
        <w:ind w:firstLine="640" w:firstLineChars="200"/>
        <w:rPr>
          <w:rFonts w:ascii="仿宋_GB2312" w:hAnsi="仿宋_GB2312" w:cs="仿宋_GB2312"/>
          <w:sz w:val="32"/>
          <w:szCs w:val="32"/>
        </w:rPr>
      </w:pPr>
    </w:p>
    <w:p>
      <w:pPr>
        <w:spacing w:line="520" w:lineRule="exact"/>
        <w:rPr>
          <w:rFonts w:ascii="仿宋_GB2312" w:hAnsi="宋体" w:cs="仿宋_GB2312"/>
          <w:szCs w:val="32"/>
          <w:shd w:val="clear" w:color="auto" w:fill="FFFFFF"/>
        </w:rPr>
      </w:pPr>
    </w:p>
    <w:p>
      <w:pPr>
        <w:spacing w:line="700" w:lineRule="exact"/>
        <w:jc w:val="center"/>
        <w:rPr>
          <w:rFonts w:ascii="方正小标宋简体" w:hAnsi="仿宋" w:eastAsia="方正小标宋简体"/>
          <w:sz w:val="44"/>
          <w:szCs w:val="4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CD"/>
    <w:rsid w:val="00180CD5"/>
    <w:rsid w:val="009D13CD"/>
    <w:rsid w:val="00F83B54"/>
    <w:rsid w:val="02DF168C"/>
    <w:rsid w:val="089D7903"/>
    <w:rsid w:val="0A80397C"/>
    <w:rsid w:val="28E65008"/>
    <w:rsid w:val="2C156303"/>
    <w:rsid w:val="4CC57A90"/>
    <w:rsid w:val="50541957"/>
    <w:rsid w:val="538F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普通(网站)1"/>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2141</Words>
  <Characters>2303</Characters>
  <Lines>18</Lines>
  <Paragraphs>5</Paragraphs>
  <TotalTime>35</TotalTime>
  <ScaleCrop>false</ScaleCrop>
  <LinksUpToDate>false</LinksUpToDate>
  <CharactersWithSpaces>2360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2022-04-16T02:35:00Z</dcterms:created>
  <dc:creator>Administrator</dc:creator>
  <cp:lastModifiedBy>李慧</cp:lastModifiedBy>
  <cp:lastPrinted>2022-04-18T03:35:00Z</cp:lastPrinted>
  <dcterms:modified xsi:type="dcterms:W3CDTF">2022-10-11T05:19:59Z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46A80C028FB1485FAAF534BD0B03A84F</vt:lpwstr>
  </property>
</Properties>
</file>