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仿宋" w:eastAsia="方正小标宋简体"/>
          <w:b w:val="0"/>
          <w:bCs w:val="0"/>
          <w:sz w:val="44"/>
          <w:szCs w:val="44"/>
        </w:rPr>
      </w:pPr>
      <w:r>
        <w:rPr>
          <w:rFonts w:ascii="方正小标宋简体" w:hAnsi="仿宋" w:eastAsia="方正小标宋简体"/>
          <w:b w:val="0"/>
          <w:bCs w:val="0"/>
          <w:sz w:val="44"/>
          <w:szCs w:val="44"/>
        </w:rPr>
        <w:t>202</w:t>
      </w:r>
      <w:r>
        <w:rPr>
          <w:rFonts w:hint="eastAsia" w:ascii="方正小标宋简体" w:hAnsi="仿宋" w:eastAsia="方正小标宋简体"/>
          <w:b w:val="0"/>
          <w:bCs w:val="0"/>
          <w:sz w:val="44"/>
          <w:szCs w:val="44"/>
          <w:lang w:val="en-US" w:eastAsia="zh-CN"/>
        </w:rPr>
        <w:t>1</w:t>
      </w:r>
      <w:r>
        <w:rPr>
          <w:rFonts w:hint="eastAsia" w:ascii="方正小标宋简体" w:hAnsi="仿宋" w:eastAsia="方正小标宋简体"/>
          <w:b w:val="0"/>
          <w:bCs w:val="0"/>
          <w:sz w:val="44"/>
          <w:szCs w:val="44"/>
        </w:rPr>
        <w:t>年度益阳医学高等专科学校</w:t>
      </w:r>
    </w:p>
    <w:p>
      <w:pPr>
        <w:spacing w:line="700" w:lineRule="exact"/>
        <w:jc w:val="center"/>
        <w:rPr>
          <w:rFonts w:ascii="方正小标宋简体" w:hAnsi="仿宋" w:eastAsia="方正小标宋简体"/>
          <w:b w:val="0"/>
          <w:bCs w:val="0"/>
          <w:sz w:val="44"/>
          <w:szCs w:val="44"/>
        </w:rPr>
      </w:pPr>
      <w:r>
        <w:rPr>
          <w:rFonts w:hint="eastAsia" w:ascii="方正小标宋简体" w:hAnsi="仿宋" w:eastAsia="方正小标宋简体"/>
          <w:b w:val="0"/>
          <w:bCs w:val="0"/>
          <w:sz w:val="44"/>
          <w:szCs w:val="44"/>
        </w:rPr>
        <w:t>整体支出绩效自评报告</w:t>
      </w:r>
    </w:p>
    <w:p/>
    <w:p>
      <w:pPr>
        <w:spacing w:beforeLines="0" w:afterLines="0" w:line="520" w:lineRule="exact"/>
        <w:ind w:firstLine="640"/>
        <w:rPr>
          <w:rFonts w:hint="default" w:ascii="Times New Roman" w:hAnsi="Times New Roman" w:eastAsia="Times New Roman"/>
          <w:sz w:val="32"/>
        </w:rPr>
      </w:pPr>
      <w:r>
        <w:rPr>
          <w:rFonts w:hint="eastAsia" w:ascii="黑体" w:hAnsi="黑体" w:eastAsia="黑体"/>
          <w:sz w:val="32"/>
        </w:rPr>
        <w:t>一、部门（单位）情况</w:t>
      </w:r>
    </w:p>
    <w:p>
      <w:pPr>
        <w:wordWrap/>
        <w:adjustRightInd/>
        <w:snapToGrid/>
        <w:spacing w:before="0" w:after="0" w:line="600" w:lineRule="exact"/>
        <w:ind w:left="0" w:leftChars="0" w:right="0" w:firstLine="640"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（一）</w:t>
      </w:r>
      <w:r>
        <w:rPr>
          <w:rFonts w:hint="eastAsia" w:ascii="楷体_GB2312" w:hAnsi="楷体_GB2312" w:eastAsia="楷体_GB2312" w:cs="楷体_GB2312"/>
          <w:szCs w:val="32"/>
        </w:rPr>
        <w:t>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8" w:lineRule="atLeast"/>
        <w:ind w:left="0" w:right="0" w:firstLine="645"/>
        <w:jc w:val="both"/>
        <w:rPr>
          <w:rFonts w:hint="default"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益阳医学高等专科学校始建于1950年，前身是益阳卫生学校，2007年经教育部批准升格为公办全日制普通高等专科学校。学校是国家助理全科医生规范化培训基地、国家口腔健康教育基地、教育部“1+x”职业技能等级证书优秀试点院校、首批全国急救教育试点学校、湖南省防治血吸虫病培训基地、中南大学湘雅医院护理人才培养合作学校，先后获评湖南省文明高校、湖南省平安高校、湖南省乡村医生优秀培养学校、省级园林式单位、湖南省最美高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8" w:lineRule="atLeast"/>
        <w:ind w:left="0" w:right="0" w:firstLine="645"/>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学校现有全日制在校学生10000余人，教职员工900余人，具有高级职称的190人。开设了临床医学、口腔医学、药学、护理、助产、医学检验技术、康复治疗技术、中药、药品质量与安全、药品生产技术、眼视光技术、医学影像、健康管理等13个专业，其中护理专业为省级特色专业，口腔医学和药学专业为中央财政支持专业和湖南省“十三五”综合改革试点专业。构建了健康养老服务、基层卫生服务、药事管理与服务3大专业群，健康养老服务专业群入选湖南省高等职业教育一流特色专业群培育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8" w:lineRule="atLeast"/>
        <w:ind w:left="0" w:right="0" w:firstLine="645"/>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学校秉持“明德弘医，博学致远”的校训精神，落实立德树人根本任务，坚持守正出新、融合发展，全面推进“活力校园、法治校园、科技校园、幸福校园”建设，全力打造高水平医学职业院校，为促进区域经济社会发展和人民健康提供强有力的高素质人力资源支撑。</w:t>
      </w:r>
    </w:p>
    <w:p>
      <w:pPr>
        <w:widowControl w:val="0"/>
        <w:wordWrap/>
        <w:adjustRightInd/>
        <w:snapToGrid/>
        <w:spacing w:before="0" w:after="0" w:line="600" w:lineRule="exact"/>
        <w:ind w:left="0" w:leftChars="0" w:right="0" w:firstLine="640"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（二）</w:t>
      </w:r>
      <w:r>
        <w:rPr>
          <w:rFonts w:hint="eastAsia" w:ascii="楷体_GB2312" w:hAnsi="楷体_GB2312" w:eastAsia="楷体_GB2312" w:cs="楷体_GB2312"/>
          <w:szCs w:val="32"/>
        </w:rPr>
        <w:t>机构设置</w:t>
      </w:r>
    </w:p>
    <w:p>
      <w:pPr>
        <w:ind w:firstLine="640" w:firstLineChars="200"/>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学校内设1</w:t>
      </w:r>
      <w:r>
        <w:rPr>
          <w:rFonts w:hint="eastAsia" w:ascii="仿宋" w:hAnsi="仿宋" w:eastAsia="仿宋"/>
          <w:sz w:val="32"/>
          <w:szCs w:val="32"/>
          <w:highlight w:val="none"/>
          <w:lang w:val="en-US" w:eastAsia="zh-CN"/>
        </w:rPr>
        <w:t>2</w:t>
      </w:r>
      <w:r>
        <w:rPr>
          <w:rFonts w:hint="default" w:ascii="仿宋" w:hAnsi="仿宋" w:eastAsia="仿宋"/>
          <w:sz w:val="32"/>
          <w:szCs w:val="32"/>
          <w:highlight w:val="none"/>
          <w:lang w:val="en-US" w:eastAsia="zh-CN"/>
        </w:rPr>
        <w:t>个党群行政机构，分别为党政办公室、工会、计划财务处、组织人事处、宣传统战部、纪检监察审计室科研处、教务处、学工处、保卫处、招生就业处、</w:t>
      </w:r>
      <w:r>
        <w:rPr>
          <w:rFonts w:hint="eastAsia" w:ascii="仿宋" w:hAnsi="仿宋" w:eastAsia="仿宋"/>
          <w:sz w:val="32"/>
          <w:szCs w:val="32"/>
          <w:highlight w:val="none"/>
          <w:lang w:val="en-US" w:eastAsia="zh-CN"/>
        </w:rPr>
        <w:t>团委、</w:t>
      </w:r>
      <w:r>
        <w:rPr>
          <w:rFonts w:hint="default" w:ascii="仿宋" w:hAnsi="仿宋" w:eastAsia="仿宋"/>
          <w:sz w:val="32"/>
          <w:szCs w:val="32"/>
          <w:highlight w:val="none"/>
          <w:lang w:val="en-US" w:eastAsia="zh-CN"/>
        </w:rPr>
        <w:t>后勤处，</w:t>
      </w:r>
      <w:r>
        <w:rPr>
          <w:rFonts w:hint="eastAsia" w:ascii="仿宋" w:hAnsi="仿宋" w:eastAsia="仿宋"/>
          <w:sz w:val="32"/>
          <w:szCs w:val="32"/>
          <w:highlight w:val="none"/>
          <w:lang w:val="en-US" w:eastAsia="zh-CN"/>
        </w:rPr>
        <w:t>6</w:t>
      </w:r>
      <w:r>
        <w:rPr>
          <w:rFonts w:hint="default" w:ascii="仿宋" w:hAnsi="仿宋" w:eastAsia="仿宋"/>
          <w:sz w:val="32"/>
          <w:szCs w:val="32"/>
          <w:highlight w:val="none"/>
          <w:lang w:val="en-US" w:eastAsia="zh-CN"/>
        </w:rPr>
        <w:t>个教学系部，分别为：临床医学系、口腔医学系、护理系、药学系、基础医学部</w:t>
      </w:r>
      <w:r>
        <w:rPr>
          <w:rFonts w:hint="eastAsia" w:ascii="仿宋" w:hAnsi="仿宋" w:eastAsia="仿宋"/>
          <w:sz w:val="32"/>
          <w:szCs w:val="32"/>
          <w:highlight w:val="none"/>
          <w:lang w:val="en-US" w:eastAsia="zh-CN"/>
        </w:rPr>
        <w:t>与检验系</w:t>
      </w:r>
      <w:r>
        <w:rPr>
          <w:rFonts w:hint="default" w:ascii="仿宋" w:hAnsi="仿宋" w:eastAsia="仿宋"/>
          <w:sz w:val="32"/>
          <w:szCs w:val="32"/>
          <w:highlight w:val="none"/>
          <w:lang w:val="en-US" w:eastAsia="zh-CN"/>
        </w:rPr>
        <w:t>、</w:t>
      </w:r>
      <w:r>
        <w:rPr>
          <w:rFonts w:hint="eastAsia" w:ascii="仿宋" w:hAnsi="仿宋" w:eastAsia="仿宋"/>
          <w:sz w:val="32"/>
          <w:szCs w:val="32"/>
          <w:highlight w:val="none"/>
          <w:lang w:val="en-US" w:eastAsia="zh-CN"/>
        </w:rPr>
        <w:t>思政课</w:t>
      </w:r>
      <w:r>
        <w:rPr>
          <w:rFonts w:hint="default" w:ascii="仿宋" w:hAnsi="仿宋" w:eastAsia="仿宋"/>
          <w:sz w:val="32"/>
          <w:szCs w:val="32"/>
          <w:highlight w:val="none"/>
          <w:lang w:val="en-US" w:eastAsia="zh-CN"/>
        </w:rPr>
        <w:t>部；</w:t>
      </w:r>
      <w:r>
        <w:rPr>
          <w:rFonts w:hint="eastAsia" w:ascii="仿宋" w:hAnsi="仿宋" w:eastAsia="仿宋"/>
          <w:sz w:val="32"/>
          <w:szCs w:val="32"/>
          <w:highlight w:val="none"/>
          <w:lang w:val="en-US" w:eastAsia="zh-CN"/>
        </w:rPr>
        <w:t>5</w:t>
      </w:r>
      <w:r>
        <w:rPr>
          <w:rFonts w:hint="default" w:ascii="仿宋" w:hAnsi="仿宋" w:eastAsia="仿宋"/>
          <w:sz w:val="32"/>
          <w:szCs w:val="32"/>
          <w:highlight w:val="none"/>
          <w:lang w:val="en-US" w:eastAsia="zh-CN"/>
        </w:rPr>
        <w:t>个教辅机构，分别为图书馆、继续教育部、科研处</w:t>
      </w:r>
      <w:r>
        <w:rPr>
          <w:rFonts w:hint="eastAsia" w:ascii="仿宋" w:hAnsi="仿宋" w:eastAsia="仿宋"/>
          <w:sz w:val="32"/>
          <w:szCs w:val="32"/>
          <w:highlight w:val="none"/>
          <w:lang w:val="en-US" w:eastAsia="zh-CN"/>
        </w:rPr>
        <w:t>、发展规划中心、质量评价中心</w:t>
      </w:r>
      <w:r>
        <w:rPr>
          <w:rFonts w:hint="default" w:ascii="仿宋" w:hAnsi="仿宋" w:eastAsia="仿宋"/>
          <w:sz w:val="32"/>
          <w:szCs w:val="32"/>
          <w:highlight w:val="none"/>
          <w:lang w:val="en-US"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8" w:lineRule="atLeast"/>
        <w:ind w:left="0" w:right="0" w:firstLine="645"/>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学校现有1所直属综合型附属医院和1所直属附属口腔医院，4所非直属附属医院，11所教学医院和80余家校外实习实训基地。</w:t>
      </w:r>
    </w:p>
    <w:p>
      <w:pPr>
        <w:widowControl w:val="0"/>
        <w:numPr>
          <w:ilvl w:val="0"/>
          <w:numId w:val="1"/>
        </w:numPr>
        <w:wordWrap/>
        <w:adjustRightInd/>
        <w:snapToGrid/>
        <w:spacing w:before="0" w:after="0" w:line="600" w:lineRule="exact"/>
        <w:ind w:left="0" w:leftChars="0" w:right="0" w:firstLine="640" w:firstLineChars="200"/>
        <w:jc w:val="both"/>
        <w:textAlignment w:val="auto"/>
        <w:outlineLvl w:val="9"/>
        <w:rPr>
          <w:rFonts w:ascii="黑体" w:hAnsi="黑体" w:eastAsia="黑体"/>
          <w:szCs w:val="32"/>
        </w:rPr>
      </w:pPr>
      <w:r>
        <w:rPr>
          <w:rFonts w:hint="eastAsia" w:ascii="黑体" w:hAnsi="黑体" w:eastAsia="黑体"/>
          <w:szCs w:val="32"/>
        </w:rPr>
        <w:t>一般公共预算支出情况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
          <w:szCs w:val="32"/>
        </w:rPr>
      </w:pPr>
      <w:r>
        <w:rPr>
          <w:rFonts w:ascii="仿宋_GB2312" w:hAnsi="仿宋"/>
          <w:szCs w:val="32"/>
        </w:rPr>
        <w:t>202</w:t>
      </w:r>
      <w:r>
        <w:rPr>
          <w:rFonts w:hint="eastAsia" w:ascii="仿宋_GB2312" w:hAnsi="仿宋"/>
          <w:szCs w:val="32"/>
          <w:lang w:val="en-US" w:eastAsia="zh-CN"/>
        </w:rPr>
        <w:t>1</w:t>
      </w:r>
      <w:r>
        <w:rPr>
          <w:rFonts w:hint="eastAsia" w:ascii="仿宋_GB2312" w:hAnsi="仿宋"/>
          <w:szCs w:val="32"/>
        </w:rPr>
        <w:t>年度学校一般公共预算财政拨款支出共计</w:t>
      </w:r>
      <w:r>
        <w:rPr>
          <w:rFonts w:ascii="仿宋_GB2312" w:hAnsi="仿宋"/>
          <w:szCs w:val="32"/>
        </w:rPr>
        <w:t xml:space="preserve"> </w:t>
      </w:r>
      <w:r>
        <w:rPr>
          <w:rFonts w:hint="eastAsia" w:ascii="仿宋_GB2312" w:hAnsi="仿宋"/>
          <w:szCs w:val="32"/>
          <w:lang w:val="en-US" w:eastAsia="zh-CN"/>
        </w:rPr>
        <w:t>11323.98</w:t>
      </w:r>
      <w:r>
        <w:rPr>
          <w:rFonts w:hint="eastAsia" w:ascii="仿宋_GB2312" w:hAnsi="仿宋"/>
          <w:szCs w:val="32"/>
        </w:rPr>
        <w:t>万元，其中基本支出</w:t>
      </w:r>
      <w:r>
        <w:rPr>
          <w:rFonts w:hint="eastAsia" w:ascii="仿宋_GB2312" w:hAnsi="仿宋"/>
          <w:szCs w:val="32"/>
          <w:lang w:val="en-US" w:eastAsia="zh-CN"/>
        </w:rPr>
        <w:t>6963.20</w:t>
      </w:r>
      <w:r>
        <w:rPr>
          <w:rFonts w:hint="eastAsia" w:ascii="仿宋_GB2312" w:hAnsi="仿宋"/>
          <w:szCs w:val="32"/>
        </w:rPr>
        <w:t>万元，项目支出</w:t>
      </w:r>
      <w:r>
        <w:rPr>
          <w:rFonts w:hint="eastAsia" w:ascii="仿宋_GB2312" w:hAnsi="仿宋"/>
          <w:szCs w:val="32"/>
          <w:lang w:val="en-US" w:eastAsia="zh-CN"/>
        </w:rPr>
        <w:t>4360.78</w:t>
      </w:r>
      <w:r>
        <w:rPr>
          <w:rFonts w:hint="eastAsia" w:ascii="仿宋_GB2312" w:hAnsi="仿宋"/>
          <w:szCs w:val="32"/>
        </w:rPr>
        <w:t>万元。</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
          <w:szCs w:val="32"/>
        </w:rPr>
      </w:pPr>
      <w:r>
        <w:rPr>
          <w:rFonts w:hint="eastAsia" w:ascii="仿宋_GB2312" w:hAnsi="仿宋"/>
          <w:szCs w:val="32"/>
        </w:rPr>
        <w:t>基本支出</w:t>
      </w:r>
      <w:r>
        <w:rPr>
          <w:rFonts w:hint="eastAsia" w:ascii="仿宋_GB2312" w:hAnsi="仿宋"/>
          <w:szCs w:val="32"/>
          <w:lang w:val="en-US" w:eastAsia="zh-CN"/>
        </w:rPr>
        <w:t>6963.20</w:t>
      </w:r>
      <w:r>
        <w:rPr>
          <w:rFonts w:hint="eastAsia" w:ascii="仿宋_GB2312" w:hAnsi="仿宋"/>
          <w:szCs w:val="32"/>
        </w:rPr>
        <w:t>万元，其中：工资福利支出</w:t>
      </w:r>
      <w:r>
        <w:rPr>
          <w:rFonts w:hint="eastAsia" w:ascii="仿宋_GB2312" w:hAnsi="仿宋"/>
          <w:szCs w:val="32"/>
          <w:lang w:val="en-US" w:eastAsia="zh-CN"/>
        </w:rPr>
        <w:t>4097.86</w:t>
      </w:r>
      <w:r>
        <w:rPr>
          <w:rFonts w:hint="eastAsia" w:ascii="仿宋_GB2312" w:hAnsi="仿宋"/>
          <w:szCs w:val="32"/>
        </w:rPr>
        <w:t>万元、商品和服务支出</w:t>
      </w:r>
      <w:r>
        <w:rPr>
          <w:rFonts w:hint="eastAsia" w:ascii="仿宋_GB2312" w:hAnsi="仿宋"/>
          <w:szCs w:val="32"/>
          <w:lang w:val="en-US" w:eastAsia="zh-CN"/>
        </w:rPr>
        <w:t>621.19</w:t>
      </w:r>
      <w:r>
        <w:rPr>
          <w:rFonts w:hint="eastAsia" w:ascii="仿宋_GB2312" w:hAnsi="仿宋"/>
          <w:szCs w:val="32"/>
        </w:rPr>
        <w:t>万元、对个人和家庭的补助</w:t>
      </w:r>
      <w:r>
        <w:rPr>
          <w:rFonts w:hint="eastAsia" w:ascii="仿宋_GB2312" w:hAnsi="仿宋"/>
          <w:szCs w:val="32"/>
          <w:lang w:val="en-US" w:eastAsia="zh-CN"/>
        </w:rPr>
        <w:t>2244.15</w:t>
      </w:r>
      <w:r>
        <w:rPr>
          <w:rFonts w:hint="eastAsia" w:ascii="仿宋_GB2312" w:hAnsi="仿宋"/>
          <w:szCs w:val="32"/>
        </w:rPr>
        <w:t>万元。</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ascii="仿宋_GB2312" w:hAnsi="仿宋"/>
          <w:szCs w:val="32"/>
        </w:rPr>
        <w:t> </w:t>
      </w:r>
      <w:r>
        <w:rPr>
          <w:rFonts w:hint="eastAsia" w:ascii="仿宋_GB2312" w:hAnsi="仿宋"/>
          <w:szCs w:val="32"/>
        </w:rPr>
        <w:t>项目支出</w:t>
      </w:r>
      <w:r>
        <w:rPr>
          <w:rFonts w:hint="eastAsia" w:ascii="仿宋_GB2312" w:hAnsi="仿宋"/>
          <w:szCs w:val="32"/>
          <w:lang w:val="en-US" w:eastAsia="zh-CN"/>
        </w:rPr>
        <w:t>4360.78</w:t>
      </w:r>
      <w:r>
        <w:rPr>
          <w:rFonts w:hint="eastAsia" w:ascii="仿宋_GB2312" w:hAnsi="仿宋"/>
          <w:szCs w:val="32"/>
        </w:rPr>
        <w:t>万元，主要用于学校信息化建设、实验室更新改造、专用设备购置、学校综教楼工程款等。</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
          <w:szCs w:val="32"/>
        </w:rPr>
      </w:pPr>
      <w:r>
        <w:rPr>
          <w:rFonts w:ascii="仿宋_GB2312" w:hAnsi="仿宋"/>
          <w:szCs w:val="32"/>
        </w:rPr>
        <w:t>202</w:t>
      </w:r>
      <w:r>
        <w:rPr>
          <w:rFonts w:hint="eastAsia" w:ascii="仿宋_GB2312" w:hAnsi="仿宋"/>
          <w:szCs w:val="32"/>
          <w:lang w:val="en-US" w:eastAsia="zh-CN"/>
        </w:rPr>
        <w:t>1</w:t>
      </w:r>
      <w:r>
        <w:rPr>
          <w:rFonts w:hint="eastAsia" w:ascii="仿宋_GB2312" w:hAnsi="仿宋"/>
          <w:szCs w:val="32"/>
        </w:rPr>
        <w:t>年度学校“三公”经费财政拨款支出为</w:t>
      </w:r>
      <w:r>
        <w:rPr>
          <w:rFonts w:hint="eastAsia" w:ascii="仿宋_GB2312" w:hAnsi="仿宋"/>
          <w:szCs w:val="32"/>
          <w:lang w:val="en-US" w:eastAsia="zh-CN"/>
        </w:rPr>
        <w:t>13.31</w:t>
      </w:r>
      <w:r>
        <w:rPr>
          <w:rFonts w:hint="eastAsia" w:ascii="仿宋_GB2312" w:hAnsi="仿宋"/>
          <w:szCs w:val="32"/>
        </w:rPr>
        <w:t>万元，其中：公务接待费支出为</w:t>
      </w:r>
      <w:r>
        <w:rPr>
          <w:rFonts w:hint="eastAsia" w:ascii="仿宋_GB2312" w:hAnsi="仿宋"/>
          <w:szCs w:val="32"/>
          <w:lang w:val="en-US" w:eastAsia="zh-CN"/>
        </w:rPr>
        <w:t>13.31</w:t>
      </w:r>
      <w:r>
        <w:rPr>
          <w:rFonts w:hint="eastAsia" w:ascii="仿宋_GB2312" w:hAnsi="仿宋"/>
          <w:szCs w:val="32"/>
        </w:rPr>
        <w:t>万元。接待支出主要用于出席会议、考察调研、执行任务、学习交流、检查指导、请示汇报工作等公务活动。</w:t>
      </w:r>
    </w:p>
    <w:p>
      <w:pPr>
        <w:widowControl w:val="0"/>
        <w:numPr>
          <w:ilvl w:val="0"/>
          <w:numId w:val="1"/>
        </w:numPr>
        <w:wordWrap/>
        <w:adjustRightInd/>
        <w:snapToGrid/>
        <w:spacing w:before="0" w:after="0" w:line="600" w:lineRule="exact"/>
        <w:ind w:left="0" w:leftChars="0" w:right="0" w:firstLine="640" w:firstLineChars="200"/>
        <w:jc w:val="both"/>
        <w:textAlignment w:val="auto"/>
        <w:outlineLvl w:val="9"/>
        <w:rPr>
          <w:rFonts w:ascii="黑体" w:hAnsi="黑体" w:eastAsia="黑体"/>
          <w:szCs w:val="32"/>
        </w:rPr>
      </w:pPr>
      <w:r>
        <w:rPr>
          <w:rFonts w:hint="eastAsia" w:ascii="黑体" w:hAnsi="黑体" w:eastAsia="黑体"/>
          <w:szCs w:val="32"/>
        </w:rPr>
        <w:t>政府性基金预算支出情况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
          <w:szCs w:val="32"/>
        </w:rPr>
      </w:pPr>
      <w:r>
        <w:rPr>
          <w:rFonts w:ascii="仿宋_GB2312" w:hAnsi="仿宋"/>
          <w:szCs w:val="32"/>
        </w:rPr>
        <w:t>202</w:t>
      </w:r>
      <w:r>
        <w:rPr>
          <w:rFonts w:hint="eastAsia" w:ascii="仿宋_GB2312" w:hAnsi="仿宋"/>
          <w:szCs w:val="32"/>
          <w:lang w:val="en-US" w:eastAsia="zh-CN"/>
        </w:rPr>
        <w:t>1</w:t>
      </w:r>
      <w:r>
        <w:rPr>
          <w:rFonts w:hint="eastAsia" w:ascii="仿宋_GB2312" w:hAnsi="仿宋"/>
          <w:szCs w:val="32"/>
        </w:rPr>
        <w:t>年学校政府性基金预算支出为</w:t>
      </w:r>
      <w:r>
        <w:rPr>
          <w:rFonts w:hint="eastAsia" w:ascii="仿宋_GB2312" w:hAnsi="仿宋"/>
          <w:szCs w:val="32"/>
          <w:lang w:val="en-US" w:eastAsia="zh-CN"/>
        </w:rPr>
        <w:t>195.86</w:t>
      </w:r>
      <w:r>
        <w:rPr>
          <w:rFonts w:hint="eastAsia" w:ascii="仿宋_GB2312" w:hAnsi="仿宋"/>
          <w:szCs w:val="32"/>
        </w:rPr>
        <w:t>万</w:t>
      </w:r>
      <w:r>
        <w:rPr>
          <w:rFonts w:hint="eastAsia" w:ascii="仿宋_GB2312" w:hAnsi="仿宋"/>
          <w:szCs w:val="32"/>
          <w:lang w:val="en-US" w:eastAsia="zh-CN"/>
        </w:rPr>
        <w:t>元</w:t>
      </w:r>
      <w:r>
        <w:rPr>
          <w:rFonts w:hint="eastAsia" w:ascii="仿宋_GB2312" w:hAnsi="仿宋"/>
          <w:szCs w:val="32"/>
        </w:rPr>
        <w:t>，主要用于</w:t>
      </w:r>
      <w:r>
        <w:rPr>
          <w:rFonts w:hint="eastAsia" w:ascii="仿宋_GB2312" w:hAnsi="仿宋"/>
          <w:szCs w:val="32"/>
          <w:lang w:val="en-US" w:eastAsia="zh-CN"/>
        </w:rPr>
        <w:t>房屋建筑物构建支出29.43万元，办公设备购置支出51.91万元，专用设备购置支出60.57万元，基础设施建设支出41.76万元，大型修缮支出12.19万元</w:t>
      </w:r>
      <w:r>
        <w:rPr>
          <w:rFonts w:hint="eastAsia" w:ascii="仿宋_GB2312" w:hAnsi="仿宋"/>
          <w:szCs w:val="32"/>
        </w:rPr>
        <w:t>。</w:t>
      </w:r>
    </w:p>
    <w:p>
      <w:pPr>
        <w:widowControl w:val="0"/>
        <w:numPr>
          <w:ilvl w:val="0"/>
          <w:numId w:val="1"/>
        </w:numPr>
        <w:wordWrap/>
        <w:adjustRightInd/>
        <w:snapToGrid/>
        <w:spacing w:before="0" w:after="0" w:line="600" w:lineRule="exact"/>
        <w:ind w:left="0" w:leftChars="0" w:right="0" w:firstLine="640" w:firstLineChars="200"/>
        <w:jc w:val="both"/>
        <w:textAlignment w:val="auto"/>
        <w:outlineLvl w:val="9"/>
        <w:rPr>
          <w:rFonts w:ascii="黑体" w:hAnsi="黑体" w:eastAsia="黑体"/>
          <w:szCs w:val="32"/>
        </w:rPr>
      </w:pPr>
      <w:r>
        <w:rPr>
          <w:rFonts w:hint="eastAsia" w:ascii="黑体" w:hAnsi="黑体" w:eastAsia="黑体"/>
          <w:szCs w:val="32"/>
        </w:rPr>
        <w:t>国有资本经营预算支出情况</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ascii="仿宋_GB2312" w:hAnsi="仿宋"/>
          <w:szCs w:val="32"/>
        </w:rPr>
        <w:t>202</w:t>
      </w:r>
      <w:r>
        <w:rPr>
          <w:rFonts w:hint="eastAsia" w:ascii="仿宋_GB2312" w:hAnsi="仿宋"/>
          <w:szCs w:val="32"/>
          <w:lang w:val="en-US" w:eastAsia="zh-CN"/>
        </w:rPr>
        <w:t>1</w:t>
      </w:r>
      <w:r>
        <w:rPr>
          <w:rFonts w:hint="eastAsia" w:ascii="仿宋_GB2312" w:hAnsi="仿宋"/>
          <w:szCs w:val="32"/>
        </w:rPr>
        <w:t>年学校无国有资本经营预算支出</w:t>
      </w:r>
    </w:p>
    <w:p>
      <w:pPr>
        <w:widowControl w:val="0"/>
        <w:numPr>
          <w:ilvl w:val="0"/>
          <w:numId w:val="1"/>
        </w:numPr>
        <w:wordWrap/>
        <w:adjustRightInd/>
        <w:snapToGrid/>
        <w:spacing w:before="0" w:after="0" w:line="600" w:lineRule="exact"/>
        <w:ind w:left="0" w:leftChars="0" w:right="0" w:firstLine="640" w:firstLineChars="200"/>
        <w:jc w:val="both"/>
        <w:textAlignment w:val="auto"/>
        <w:outlineLvl w:val="9"/>
        <w:rPr>
          <w:rFonts w:ascii="黑体" w:hAnsi="黑体" w:eastAsia="黑体"/>
          <w:szCs w:val="32"/>
        </w:rPr>
      </w:pPr>
      <w:r>
        <w:rPr>
          <w:rFonts w:hint="eastAsia" w:ascii="黑体" w:hAnsi="黑体" w:eastAsia="黑体"/>
          <w:szCs w:val="32"/>
        </w:rPr>
        <w:t>社会保险基金预算支出情况、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
          <w:szCs w:val="32"/>
        </w:rPr>
      </w:pPr>
      <w:r>
        <w:rPr>
          <w:rFonts w:ascii="仿宋_GB2312" w:hAnsi="仿宋"/>
          <w:szCs w:val="32"/>
        </w:rPr>
        <w:t>202</w:t>
      </w:r>
      <w:r>
        <w:rPr>
          <w:rFonts w:hint="eastAsia" w:ascii="仿宋_GB2312" w:hAnsi="仿宋"/>
          <w:szCs w:val="32"/>
          <w:lang w:val="en-US" w:eastAsia="zh-CN"/>
        </w:rPr>
        <w:t>1</w:t>
      </w:r>
      <w:bookmarkStart w:id="0" w:name="_GoBack"/>
      <w:bookmarkEnd w:id="0"/>
      <w:r>
        <w:rPr>
          <w:rFonts w:hint="eastAsia" w:ascii="仿宋_GB2312" w:hAnsi="仿宋"/>
          <w:szCs w:val="32"/>
        </w:rPr>
        <w:t>年学校无社会保险基金预算支出</w:t>
      </w:r>
    </w:p>
    <w:p>
      <w:pPr>
        <w:widowControl w:val="0"/>
        <w:numPr>
          <w:ilvl w:val="0"/>
          <w:numId w:val="1"/>
        </w:numPr>
        <w:wordWrap/>
        <w:adjustRightInd/>
        <w:snapToGrid/>
        <w:spacing w:before="0" w:after="0" w:line="600" w:lineRule="exact"/>
        <w:ind w:left="0" w:leftChars="0" w:right="0" w:firstLine="640" w:firstLineChars="200"/>
        <w:jc w:val="both"/>
        <w:textAlignment w:val="auto"/>
        <w:outlineLvl w:val="9"/>
        <w:rPr>
          <w:rFonts w:ascii="黑体" w:hAnsi="黑体" w:eastAsia="黑体"/>
          <w:szCs w:val="32"/>
        </w:rPr>
      </w:pPr>
      <w:r>
        <w:rPr>
          <w:rFonts w:hint="eastAsia" w:ascii="黑体" w:hAnsi="黑体" w:eastAsia="黑体"/>
          <w:szCs w:val="32"/>
        </w:rPr>
        <w:t>部门整体支出绩效情况</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ascii="仿宋_GB2312" w:hAnsi="仿宋"/>
          <w:szCs w:val="32"/>
        </w:rPr>
        <w:t>202</w:t>
      </w:r>
      <w:r>
        <w:rPr>
          <w:rFonts w:hint="eastAsia" w:ascii="仿宋_GB2312" w:hAnsi="仿宋"/>
          <w:szCs w:val="32"/>
          <w:lang w:val="en-US" w:eastAsia="zh-CN"/>
        </w:rPr>
        <w:t>1</w:t>
      </w:r>
      <w:r>
        <w:rPr>
          <w:rFonts w:hint="eastAsia" w:ascii="仿宋_GB2312" w:hAnsi="仿宋"/>
          <w:szCs w:val="32"/>
        </w:rPr>
        <w:t>年根据学校年初工作规划和重点工作，围绕市委、市政府的工作部署，积极履行职责，强化管理，较好地完成了年度工作目标。同时加强预算收支管理，不断建立健全内部管理制度，梳理内部管理流程，部门整体支出管理情况得到了提升。部门整体支出绩效情况如下：</w:t>
      </w:r>
    </w:p>
    <w:p>
      <w:pPr>
        <w:widowControl w:val="0"/>
        <w:wordWrap/>
        <w:adjustRightInd/>
        <w:snapToGrid/>
        <w:spacing w:before="0" w:after="0" w:line="600" w:lineRule="exact"/>
        <w:ind w:left="0" w:leftChars="0" w:right="0" w:firstLine="640"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（一）经济性评价方面</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ascii="仿宋_GB2312" w:hAnsi="仿宋"/>
          <w:szCs w:val="32"/>
        </w:rPr>
        <w:t>1</w:t>
      </w:r>
      <w:r>
        <w:rPr>
          <w:rFonts w:hint="eastAsia" w:ascii="仿宋_GB2312" w:hAnsi="仿宋"/>
          <w:szCs w:val="32"/>
        </w:rPr>
        <w:t>、预算执行方面：除专项预算的追加和政策性工资绩效预算的追加外，支出总额控制在预算总额以内；转移支付在收到专项资金时及时进行了拨付</w:t>
      </w:r>
      <w:r>
        <w:rPr>
          <w:rFonts w:hint="eastAsia" w:ascii="仿宋_GB2312" w:hAnsi="仿宋"/>
          <w:szCs w:val="32"/>
          <w:lang w:eastAsia="zh-CN"/>
        </w:rPr>
        <w:t>，</w:t>
      </w:r>
      <w:r>
        <w:rPr>
          <w:rFonts w:hint="eastAsia" w:ascii="仿宋_GB2312" w:hAnsi="仿宋"/>
          <w:szCs w:val="32"/>
        </w:rPr>
        <w:t>不存在截留或滞留专项资金情况；三公经费总额和财政拨款支出三公经费总体控制较好。</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
          <w:szCs w:val="32"/>
        </w:rPr>
      </w:pPr>
      <w:r>
        <w:rPr>
          <w:rFonts w:ascii="仿宋_GB2312" w:hAnsi="仿宋"/>
          <w:szCs w:val="32"/>
        </w:rPr>
        <w:t>2</w:t>
      </w:r>
      <w:r>
        <w:rPr>
          <w:rFonts w:hint="eastAsia" w:ascii="仿宋_GB2312" w:hAnsi="仿宋"/>
          <w:szCs w:val="32"/>
        </w:rPr>
        <w:t>、资产管理方面：</w:t>
      </w:r>
      <w:r>
        <w:rPr>
          <w:rFonts w:hint="eastAsia" w:ascii="仿宋_GB2312" w:hAnsi="仿宋"/>
          <w:szCs w:val="32"/>
          <w:lang w:eastAsia="zh-CN"/>
        </w:rPr>
        <w:t>完善</w:t>
      </w:r>
      <w:r>
        <w:rPr>
          <w:rFonts w:hint="eastAsia" w:ascii="仿宋_GB2312" w:hAnsi="仿宋"/>
          <w:szCs w:val="32"/>
        </w:rPr>
        <w:t>了资产管理制度，对</w:t>
      </w:r>
      <w:r>
        <w:rPr>
          <w:rFonts w:hint="eastAsia" w:ascii="仿宋_GB2312" w:hAnsi="仿宋"/>
          <w:szCs w:val="32"/>
          <w:lang w:eastAsia="zh-CN"/>
        </w:rPr>
        <w:t>学</w:t>
      </w:r>
      <w:r>
        <w:rPr>
          <w:rFonts w:hint="eastAsia" w:ascii="仿宋_GB2312" w:hAnsi="仿宋"/>
          <w:szCs w:val="32"/>
        </w:rPr>
        <w:t>校资产进行了</w:t>
      </w:r>
      <w:r>
        <w:rPr>
          <w:rFonts w:hint="eastAsia" w:ascii="仿宋_GB2312" w:hAnsi="仿宋"/>
          <w:szCs w:val="32"/>
          <w:lang w:eastAsia="zh-CN"/>
        </w:rPr>
        <w:t>全面</w:t>
      </w:r>
      <w:r>
        <w:rPr>
          <w:rFonts w:hint="eastAsia" w:ascii="仿宋_GB2312" w:hAnsi="仿宋"/>
          <w:szCs w:val="32"/>
        </w:rPr>
        <w:t>盘点</w:t>
      </w:r>
      <w:r>
        <w:rPr>
          <w:rFonts w:hint="eastAsia" w:ascii="仿宋_GB2312" w:hAnsi="仿宋"/>
          <w:szCs w:val="32"/>
          <w:lang w:eastAsia="zh-CN"/>
        </w:rPr>
        <w:t>清查</w:t>
      </w:r>
      <w:r>
        <w:rPr>
          <w:rFonts w:hint="eastAsia" w:ascii="仿宋_GB2312" w:hAnsi="仿宋"/>
          <w:szCs w:val="32"/>
        </w:rPr>
        <w:t>，设置了各处室系部资产管理员，做好了资产台账，实现了实物资产的</w:t>
      </w:r>
      <w:r>
        <w:rPr>
          <w:rFonts w:ascii="仿宋_GB2312" w:hAnsi="仿宋"/>
          <w:szCs w:val="32"/>
        </w:rPr>
        <w:t xml:space="preserve">   </w:t>
      </w:r>
      <w:r>
        <w:rPr>
          <w:rFonts w:hint="eastAsia" w:ascii="仿宋_GB2312" w:hAnsi="仿宋"/>
          <w:szCs w:val="32"/>
        </w:rPr>
        <w:t>“一物一卡一条码”，总体执行较好。</w:t>
      </w:r>
    </w:p>
    <w:p>
      <w:pPr>
        <w:widowControl w:val="0"/>
        <w:wordWrap/>
        <w:adjustRightInd/>
        <w:snapToGrid/>
        <w:spacing w:before="0" w:after="0" w:line="600" w:lineRule="exact"/>
        <w:ind w:left="0" w:leftChars="0" w:right="0" w:firstLine="640"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（二）效率性评价和有效性评价</w:t>
      </w:r>
    </w:p>
    <w:p>
      <w:pPr>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zh-CN" w:eastAsia="zh-CN"/>
        </w:rPr>
        <w:t>一是提升教学改革成效。全面落实“职教</w:t>
      </w:r>
      <w:r>
        <w:rPr>
          <w:rFonts w:hint="eastAsia" w:ascii="仿宋" w:hAnsi="仿宋" w:eastAsia="仿宋"/>
          <w:sz w:val="32"/>
          <w:szCs w:val="32"/>
          <w:highlight w:val="none"/>
          <w:lang w:val="en-US" w:eastAsia="zh-CN"/>
        </w:rPr>
        <w:t>20</w:t>
      </w:r>
      <w:r>
        <w:rPr>
          <w:rFonts w:hint="default" w:ascii="仿宋" w:hAnsi="仿宋" w:eastAsia="仿宋"/>
          <w:sz w:val="32"/>
          <w:szCs w:val="32"/>
          <w:highlight w:val="none"/>
          <w:lang w:val="zh-CN" w:eastAsia="zh-CN"/>
        </w:rPr>
        <w:t>条”，深化“三教”改革，</w:t>
      </w:r>
      <w:r>
        <w:rPr>
          <w:rFonts w:hint="eastAsia" w:ascii="仿宋" w:hAnsi="仿宋" w:eastAsia="仿宋"/>
          <w:sz w:val="32"/>
          <w:szCs w:val="32"/>
          <w:highlight w:val="none"/>
          <w:lang w:val="zh-CN" w:eastAsia="zh-CN"/>
        </w:rPr>
        <w:t>教学工作频现亮点。申报</w:t>
      </w:r>
      <w:r>
        <w:rPr>
          <w:rFonts w:hint="eastAsia" w:ascii="仿宋" w:hAnsi="仿宋" w:eastAsia="仿宋"/>
          <w:sz w:val="32"/>
          <w:szCs w:val="32"/>
          <w:highlight w:val="none"/>
          <w:lang w:val="en-US" w:eastAsia="zh-CN"/>
        </w:rPr>
        <w:t>6个</w:t>
      </w:r>
      <w:r>
        <w:rPr>
          <w:rFonts w:hint="eastAsia" w:ascii="仿宋" w:hAnsi="仿宋" w:eastAsia="仿宋"/>
          <w:sz w:val="32"/>
          <w:szCs w:val="32"/>
          <w:highlight w:val="none"/>
          <w:lang w:val="zh-CN" w:eastAsia="zh-CN"/>
        </w:rPr>
        <w:t>新设专业，其中</w:t>
      </w:r>
      <w:r>
        <w:rPr>
          <w:rFonts w:hint="eastAsia" w:ascii="仿宋" w:hAnsi="仿宋" w:eastAsia="仿宋"/>
          <w:sz w:val="32"/>
          <w:szCs w:val="32"/>
          <w:highlight w:val="none"/>
          <w:lang w:val="en-US" w:eastAsia="zh-CN"/>
        </w:rPr>
        <w:t>3个专业拟于2022年开展招生</w:t>
      </w:r>
      <w:r>
        <w:rPr>
          <w:rFonts w:hint="eastAsia" w:ascii="仿宋" w:hAnsi="仿宋" w:eastAsia="仿宋"/>
          <w:sz w:val="32"/>
          <w:szCs w:val="32"/>
          <w:highlight w:val="none"/>
          <w:lang w:val="zh-CN" w:eastAsia="zh-CN"/>
        </w:rPr>
        <w:t>。“</w:t>
      </w:r>
      <w:r>
        <w:rPr>
          <w:rFonts w:hint="eastAsia" w:ascii="仿宋" w:hAnsi="仿宋" w:eastAsia="仿宋"/>
          <w:sz w:val="32"/>
          <w:szCs w:val="32"/>
          <w:highlight w:val="none"/>
          <w:lang w:val="en-US" w:eastAsia="zh-CN"/>
        </w:rPr>
        <w:t>1+1+1</w:t>
      </w:r>
      <w:r>
        <w:rPr>
          <w:rFonts w:hint="eastAsia" w:ascii="仿宋" w:hAnsi="仿宋" w:eastAsia="仿宋"/>
          <w:sz w:val="32"/>
          <w:szCs w:val="32"/>
          <w:highlight w:val="none"/>
          <w:lang w:val="zh-CN" w:eastAsia="zh-CN"/>
        </w:rPr>
        <w:t>”人才培养模式试点工作</w:t>
      </w:r>
      <w:r>
        <w:rPr>
          <w:rFonts w:hint="eastAsia" w:ascii="仿宋" w:hAnsi="仿宋" w:eastAsia="仿宋"/>
          <w:sz w:val="32"/>
          <w:szCs w:val="32"/>
          <w:highlight w:val="none"/>
          <w:lang w:val="en-US" w:eastAsia="zh-CN"/>
        </w:rPr>
        <w:t>获《中国教育报》要闻版头条推介。</w:t>
      </w:r>
      <w:r>
        <w:rPr>
          <w:rFonts w:hint="eastAsia" w:ascii="仿宋" w:hAnsi="仿宋" w:eastAsia="仿宋"/>
          <w:sz w:val="32"/>
          <w:szCs w:val="32"/>
          <w:highlight w:val="none"/>
          <w:lang w:val="zh-CN" w:eastAsia="zh-CN"/>
        </w:rPr>
        <w:t>护理、中药学</w:t>
      </w:r>
      <w:r>
        <w:rPr>
          <w:rFonts w:hint="eastAsia" w:ascii="仿宋" w:hAnsi="仿宋" w:eastAsia="仿宋"/>
          <w:sz w:val="32"/>
          <w:szCs w:val="32"/>
          <w:highlight w:val="none"/>
          <w:lang w:val="en-US" w:eastAsia="zh-CN"/>
        </w:rPr>
        <w:t>2个专业人才培养方案在省教育厅评审中获评“优秀”，</w:t>
      </w:r>
      <w:r>
        <w:rPr>
          <w:rFonts w:hint="eastAsia" w:ascii="仿宋" w:hAnsi="仿宋" w:eastAsia="仿宋"/>
          <w:sz w:val="32"/>
          <w:szCs w:val="32"/>
          <w:highlight w:val="none"/>
          <w:lang w:val="zh-CN" w:eastAsia="zh-CN"/>
        </w:rPr>
        <w:t>健康管理、药品生产技术、眼视光技术</w:t>
      </w:r>
      <w:r>
        <w:rPr>
          <w:rFonts w:hint="eastAsia" w:ascii="仿宋" w:hAnsi="仿宋" w:eastAsia="仿宋"/>
          <w:sz w:val="32"/>
          <w:szCs w:val="32"/>
          <w:highlight w:val="none"/>
          <w:lang w:val="en-US" w:eastAsia="zh-CN"/>
        </w:rPr>
        <w:t>3个新设专业通过省教育厅合格性评估</w:t>
      </w:r>
      <w:r>
        <w:rPr>
          <w:rFonts w:hint="default" w:ascii="仿宋" w:hAnsi="仿宋" w:eastAsia="仿宋"/>
          <w:sz w:val="32"/>
          <w:szCs w:val="32"/>
          <w:highlight w:val="none"/>
          <w:lang w:val="zh-CN" w:eastAsia="zh-CN"/>
        </w:rPr>
        <w:t>。</w:t>
      </w:r>
      <w:r>
        <w:rPr>
          <w:rFonts w:hint="eastAsia" w:ascii="仿宋" w:hAnsi="仿宋" w:eastAsia="仿宋"/>
          <w:sz w:val="32"/>
          <w:szCs w:val="32"/>
          <w:highlight w:val="none"/>
          <w:lang w:val="zh-CN" w:eastAsia="zh-CN"/>
        </w:rPr>
        <w:t>临床医学专业教学资源库入围</w:t>
      </w:r>
      <w:r>
        <w:rPr>
          <w:rFonts w:hint="default" w:ascii="仿宋" w:hAnsi="仿宋" w:eastAsia="仿宋"/>
          <w:sz w:val="32"/>
          <w:szCs w:val="32"/>
          <w:highlight w:val="none"/>
          <w:lang w:val="zh-CN" w:eastAsia="zh-CN"/>
        </w:rPr>
        <w:t>省级</w:t>
      </w:r>
      <w:r>
        <w:rPr>
          <w:rFonts w:hint="eastAsia" w:ascii="仿宋" w:hAnsi="仿宋" w:eastAsia="仿宋"/>
          <w:sz w:val="32"/>
          <w:szCs w:val="32"/>
          <w:highlight w:val="none"/>
          <w:lang w:val="zh-CN" w:eastAsia="zh-CN"/>
        </w:rPr>
        <w:t>专业教学资源库，</w:t>
      </w:r>
      <w:r>
        <w:rPr>
          <w:rFonts w:hint="eastAsia" w:ascii="仿宋" w:hAnsi="仿宋" w:eastAsia="仿宋"/>
          <w:sz w:val="32"/>
          <w:szCs w:val="32"/>
          <w:highlight w:val="none"/>
          <w:lang w:val="en-US" w:eastAsia="zh-CN"/>
        </w:rPr>
        <w:t>4门课程入围省级</w:t>
      </w:r>
      <w:r>
        <w:rPr>
          <w:rFonts w:hint="default" w:ascii="仿宋" w:hAnsi="仿宋" w:eastAsia="仿宋"/>
          <w:sz w:val="32"/>
          <w:szCs w:val="32"/>
          <w:highlight w:val="none"/>
          <w:lang w:val="zh-CN" w:eastAsia="zh-CN"/>
        </w:rPr>
        <w:t>精品在线开放课程</w:t>
      </w:r>
      <w:r>
        <w:rPr>
          <w:rFonts w:hint="eastAsia" w:ascii="仿宋" w:hAnsi="仿宋" w:eastAsia="仿宋"/>
          <w:sz w:val="32"/>
          <w:szCs w:val="32"/>
          <w:highlight w:val="none"/>
          <w:lang w:val="zh-CN" w:eastAsia="zh-CN"/>
        </w:rPr>
        <w:t>，</w:t>
      </w:r>
      <w:r>
        <w:rPr>
          <w:rFonts w:hint="eastAsia" w:ascii="仿宋" w:hAnsi="仿宋" w:eastAsia="仿宋"/>
          <w:sz w:val="32"/>
          <w:szCs w:val="32"/>
          <w:highlight w:val="none"/>
          <w:lang w:val="en-US" w:eastAsia="zh-CN"/>
        </w:rPr>
        <w:t>6个教研教改项目入围省级项目立项公示名单</w:t>
      </w:r>
      <w:r>
        <w:rPr>
          <w:rFonts w:hint="eastAsia" w:ascii="仿宋" w:hAnsi="仿宋" w:eastAsia="仿宋"/>
          <w:sz w:val="32"/>
          <w:szCs w:val="32"/>
          <w:highlight w:val="none"/>
          <w:lang w:val="zh-CN" w:eastAsia="zh-CN"/>
        </w:rPr>
        <w:t>。学校获批全国首批急救教育试点学校，并</w:t>
      </w:r>
      <w:r>
        <w:rPr>
          <w:rFonts w:hint="eastAsia" w:ascii="仿宋" w:hAnsi="仿宋" w:eastAsia="仿宋"/>
          <w:sz w:val="32"/>
          <w:szCs w:val="32"/>
          <w:highlight w:val="none"/>
          <w:lang w:val="en-US" w:eastAsia="zh-CN"/>
        </w:rPr>
        <w:t>获得首届全国优秀教材（职业教育与继续教育类）二等奖1项。</w:t>
      </w:r>
    </w:p>
    <w:p>
      <w:pPr>
        <w:ind w:firstLine="640" w:firstLineChars="200"/>
        <w:rPr>
          <w:rFonts w:hint="eastAsia" w:ascii="仿宋" w:hAnsi="仿宋" w:eastAsia="仿宋"/>
          <w:sz w:val="32"/>
          <w:szCs w:val="32"/>
          <w:highlight w:val="none"/>
          <w:lang w:val="zh-CN" w:eastAsia="zh-CN"/>
        </w:rPr>
      </w:pPr>
      <w:r>
        <w:rPr>
          <w:rFonts w:hint="eastAsia" w:ascii="仿宋" w:hAnsi="仿宋" w:eastAsia="仿宋"/>
          <w:sz w:val="32"/>
          <w:szCs w:val="32"/>
          <w:highlight w:val="none"/>
          <w:lang w:val="en-US" w:eastAsia="zh-CN"/>
        </w:rPr>
        <w:t>二是提升人才培养质量。</w:t>
      </w:r>
      <w:r>
        <w:rPr>
          <w:rFonts w:hint="eastAsia" w:ascii="仿宋" w:hAnsi="仿宋" w:eastAsia="仿宋"/>
          <w:sz w:val="32"/>
          <w:szCs w:val="32"/>
          <w:highlight w:val="none"/>
          <w:lang w:val="zh-CN" w:eastAsia="zh-CN"/>
        </w:rPr>
        <w:t>将技能竞赛作为提高人才培养质量的重要抓手，坚持“以赛促教、以赛促学、以赛促建、以赛促改，德技并修”。首次申报成为省赛赛点学校，承办</w:t>
      </w:r>
      <w:r>
        <w:rPr>
          <w:rFonts w:hint="eastAsia" w:ascii="仿宋" w:hAnsi="仿宋" w:eastAsia="仿宋"/>
          <w:sz w:val="32"/>
          <w:szCs w:val="32"/>
          <w:highlight w:val="none"/>
          <w:lang w:val="en-US" w:eastAsia="zh-CN"/>
        </w:rPr>
        <w:t>2022年度“楚怡杯”</w:t>
      </w:r>
      <w:r>
        <w:rPr>
          <w:rFonts w:hint="eastAsia" w:ascii="仿宋" w:hAnsi="仿宋" w:eastAsia="仿宋"/>
          <w:sz w:val="32"/>
          <w:szCs w:val="32"/>
          <w:highlight w:val="none"/>
          <w:lang w:val="zh-CN" w:eastAsia="zh-CN"/>
        </w:rPr>
        <w:t>湖南省职业院校技能竞赛健康与社会照护赛项。同时还成功承办了全市首届职业技能大赛的</w:t>
      </w:r>
      <w:r>
        <w:rPr>
          <w:rFonts w:hint="eastAsia" w:ascii="仿宋" w:hAnsi="仿宋" w:eastAsia="仿宋"/>
          <w:sz w:val="32"/>
          <w:szCs w:val="32"/>
          <w:highlight w:val="none"/>
          <w:lang w:val="en-US" w:eastAsia="zh-CN"/>
        </w:rPr>
        <w:t>4个赛项。</w:t>
      </w:r>
      <w:r>
        <w:rPr>
          <w:rFonts w:hint="eastAsia" w:ascii="仿宋" w:hAnsi="仿宋" w:eastAsia="仿宋"/>
          <w:sz w:val="32"/>
          <w:szCs w:val="32"/>
          <w:highlight w:val="none"/>
          <w:lang w:val="zh-CN" w:eastAsia="zh-CN"/>
        </w:rPr>
        <w:t>本年度我校师生在各级各类技能竞赛中获奖50项，其中省级一等奖7个，较往年有明显提升。全年有581名学生通过“专升本”考入湖南中医药大学等10所本科院校。大专生护考通过率再创新高，达到98.71%。</w:t>
      </w:r>
    </w:p>
    <w:p>
      <w:pPr>
        <w:ind w:firstLine="640" w:firstLineChars="200"/>
        <w:rPr>
          <w:rFonts w:hint="eastAsia" w:ascii="仿宋" w:hAnsi="仿宋" w:eastAsia="仿宋"/>
          <w:sz w:val="32"/>
          <w:szCs w:val="32"/>
          <w:highlight w:val="none"/>
          <w:lang w:val="zh-CN" w:eastAsia="zh-CN"/>
        </w:rPr>
      </w:pPr>
      <w:r>
        <w:rPr>
          <w:rFonts w:hint="eastAsia" w:ascii="仿宋" w:hAnsi="仿宋" w:eastAsia="仿宋"/>
          <w:sz w:val="32"/>
          <w:szCs w:val="32"/>
          <w:highlight w:val="none"/>
          <w:lang w:val="zh-CN" w:eastAsia="zh-CN"/>
        </w:rPr>
        <w:t>三是“三全育人”推进更扎实。积极打造“十大育人体系”，打造</w:t>
      </w:r>
      <w:r>
        <w:rPr>
          <w:rFonts w:hint="default" w:ascii="仿宋" w:hAnsi="仿宋" w:eastAsia="仿宋"/>
          <w:sz w:val="32"/>
          <w:szCs w:val="32"/>
          <w:highlight w:val="none"/>
          <w:lang w:val="zh-CN" w:eastAsia="zh-CN"/>
        </w:rPr>
        <w:t>校级育人文化</w:t>
      </w:r>
      <w:r>
        <w:rPr>
          <w:rFonts w:hint="eastAsia" w:ascii="仿宋" w:hAnsi="仿宋" w:eastAsia="仿宋"/>
          <w:sz w:val="32"/>
          <w:szCs w:val="32"/>
          <w:highlight w:val="none"/>
          <w:lang w:val="zh-CN" w:eastAsia="zh-CN"/>
        </w:rPr>
        <w:t>、工作品牌，</w:t>
      </w:r>
      <w:r>
        <w:rPr>
          <w:rFonts w:hint="eastAsia" w:ascii="仿宋" w:hAnsi="仿宋" w:eastAsia="仿宋"/>
          <w:sz w:val="32"/>
          <w:szCs w:val="32"/>
          <w:highlight w:val="none"/>
          <w:lang w:val="en-US" w:eastAsia="zh-CN"/>
        </w:rPr>
        <w:t>7个工作案例入选</w:t>
      </w:r>
      <w:r>
        <w:rPr>
          <w:rFonts w:hint="eastAsia" w:ascii="仿宋" w:hAnsi="仿宋" w:eastAsia="仿宋"/>
          <w:sz w:val="32"/>
          <w:szCs w:val="32"/>
          <w:highlight w:val="none"/>
          <w:lang w:val="zh-CN" w:eastAsia="zh-CN"/>
        </w:rPr>
        <w:t>湖南省高校“十大”育人示范案例。紧密结合庆祝中国共产党成立一百周年</w:t>
      </w:r>
      <w:r>
        <w:rPr>
          <w:rFonts w:hint="default" w:ascii="仿宋" w:hAnsi="仿宋" w:eastAsia="仿宋"/>
          <w:sz w:val="32"/>
          <w:szCs w:val="32"/>
          <w:highlight w:val="none"/>
          <w:lang w:val="zh-CN" w:eastAsia="zh-CN"/>
        </w:rPr>
        <w:t>，开展系列主题教育和团日活动，组织“</w:t>
      </w:r>
      <w:r>
        <w:rPr>
          <w:rFonts w:hint="eastAsia" w:ascii="仿宋" w:hAnsi="仿宋" w:eastAsia="仿宋"/>
          <w:sz w:val="32"/>
          <w:szCs w:val="32"/>
          <w:highlight w:val="none"/>
          <w:lang w:val="zh-CN" w:eastAsia="zh-TW"/>
        </w:rPr>
        <w:t>青年大学习</w:t>
      </w:r>
      <w:r>
        <w:rPr>
          <w:rFonts w:hint="default" w:ascii="仿宋" w:hAnsi="仿宋" w:eastAsia="仿宋"/>
          <w:sz w:val="32"/>
          <w:szCs w:val="32"/>
          <w:highlight w:val="none"/>
          <w:lang w:val="zh-CN" w:eastAsia="zh-CN"/>
        </w:rPr>
        <w:t>”</w:t>
      </w:r>
      <w:r>
        <w:rPr>
          <w:rFonts w:hint="eastAsia" w:ascii="仿宋" w:hAnsi="仿宋" w:eastAsia="仿宋"/>
          <w:sz w:val="32"/>
          <w:szCs w:val="32"/>
          <w:highlight w:val="none"/>
          <w:lang w:val="zh-CN" w:eastAsia="zh-TW"/>
        </w:rPr>
        <w:t>网上主题团课活动</w:t>
      </w:r>
      <w:r>
        <w:rPr>
          <w:rFonts w:hint="default" w:ascii="仿宋" w:hAnsi="仿宋" w:eastAsia="仿宋"/>
          <w:sz w:val="32"/>
          <w:szCs w:val="32"/>
          <w:highlight w:val="none"/>
          <w:lang w:val="zh-CN" w:eastAsia="zh-CN"/>
        </w:rPr>
        <w:t>，</w:t>
      </w:r>
      <w:r>
        <w:rPr>
          <w:rFonts w:hint="eastAsia" w:ascii="仿宋" w:hAnsi="仿宋" w:eastAsia="仿宋"/>
          <w:sz w:val="32"/>
          <w:szCs w:val="32"/>
          <w:highlight w:val="none"/>
          <w:lang w:val="zh-CN" w:eastAsia="zh-TW"/>
        </w:rPr>
        <w:t>参与</w:t>
      </w:r>
      <w:r>
        <w:rPr>
          <w:rFonts w:hint="default" w:ascii="仿宋" w:hAnsi="仿宋" w:eastAsia="仿宋"/>
          <w:sz w:val="32"/>
          <w:szCs w:val="32"/>
          <w:highlight w:val="none"/>
          <w:lang w:val="zh-CN" w:eastAsia="zh-CN"/>
        </w:rPr>
        <w:t>人数高</w:t>
      </w:r>
      <w:r>
        <w:rPr>
          <w:rFonts w:hint="eastAsia" w:ascii="仿宋" w:hAnsi="仿宋" w:eastAsia="仿宋"/>
          <w:sz w:val="32"/>
          <w:szCs w:val="32"/>
          <w:highlight w:val="none"/>
          <w:lang w:val="zh-CN" w:eastAsia="zh-TW"/>
        </w:rPr>
        <w:t>达</w:t>
      </w:r>
      <w:r>
        <w:rPr>
          <w:rFonts w:hint="eastAsia" w:ascii="仿宋" w:hAnsi="仿宋" w:eastAsia="仿宋"/>
          <w:sz w:val="32"/>
          <w:szCs w:val="32"/>
          <w:highlight w:val="none"/>
          <w:lang w:val="en-US" w:eastAsia="zh-CN"/>
        </w:rPr>
        <w:t>21.5</w:t>
      </w:r>
      <w:r>
        <w:rPr>
          <w:rFonts w:hint="eastAsia" w:ascii="仿宋" w:hAnsi="仿宋" w:eastAsia="仿宋"/>
          <w:sz w:val="32"/>
          <w:szCs w:val="32"/>
          <w:highlight w:val="none"/>
          <w:lang w:val="zh-CN" w:eastAsia="zh-TW"/>
        </w:rPr>
        <w:t>万人次</w:t>
      </w:r>
      <w:r>
        <w:rPr>
          <w:rFonts w:hint="eastAsia" w:ascii="仿宋" w:hAnsi="仿宋" w:eastAsia="仿宋"/>
          <w:sz w:val="32"/>
          <w:szCs w:val="32"/>
          <w:highlight w:val="none"/>
          <w:lang w:val="zh-CN" w:eastAsia="zh-CN"/>
        </w:rPr>
        <w:t>。开展“心育”队伍分层分类梯队化建设，</w:t>
      </w:r>
      <w:r>
        <w:rPr>
          <w:rFonts w:hint="default" w:ascii="仿宋" w:hAnsi="仿宋" w:eastAsia="仿宋"/>
          <w:sz w:val="32"/>
          <w:szCs w:val="32"/>
          <w:highlight w:val="none"/>
          <w:lang w:val="zh-CN" w:eastAsia="zh-CN"/>
        </w:rPr>
        <w:t>开展心理大普查，全面推进心理育人工作</w:t>
      </w:r>
      <w:r>
        <w:rPr>
          <w:rFonts w:hint="eastAsia" w:ascii="仿宋" w:hAnsi="仿宋" w:eastAsia="仿宋"/>
          <w:sz w:val="32"/>
          <w:szCs w:val="32"/>
          <w:highlight w:val="none"/>
          <w:lang w:val="zh-CN" w:eastAsia="zh-CN"/>
        </w:rPr>
        <w:t>。重视国防教育、法治教育，创新开展征兵、反诈等宣传教育。实施劳动修身计划，开发劳动素养课程</w:t>
      </w:r>
      <w:r>
        <w:rPr>
          <w:rFonts w:hint="default" w:ascii="仿宋" w:hAnsi="仿宋" w:eastAsia="仿宋"/>
          <w:sz w:val="32"/>
          <w:szCs w:val="32"/>
          <w:highlight w:val="none"/>
          <w:lang w:val="zh-CN" w:eastAsia="zh-CN"/>
        </w:rPr>
        <w:t>、“劳动+”融合课程，组织开展劳动主题文化活动</w:t>
      </w:r>
      <w:r>
        <w:rPr>
          <w:rFonts w:hint="eastAsia" w:ascii="仿宋" w:hAnsi="仿宋" w:eastAsia="仿宋"/>
          <w:sz w:val="32"/>
          <w:szCs w:val="32"/>
          <w:highlight w:val="none"/>
          <w:lang w:val="en-US" w:eastAsia="zh-CN"/>
        </w:rPr>
        <w:t>3项</w:t>
      </w:r>
      <w:r>
        <w:rPr>
          <w:rFonts w:hint="eastAsia" w:ascii="仿宋" w:hAnsi="仿宋" w:eastAsia="仿宋"/>
          <w:sz w:val="32"/>
          <w:szCs w:val="32"/>
          <w:highlight w:val="none"/>
          <w:lang w:val="zh-CN" w:eastAsia="zh-CN"/>
        </w:rPr>
        <w:t>。全校共有6000余名在校生成为注册志愿者，组建青年志愿者服务队</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lang w:val="zh-CN" w:eastAsia="zh-CN"/>
        </w:rPr>
        <w:t>支，全年开展疫情防控、文明城市创建等各类志愿服务</w:t>
      </w:r>
      <w:r>
        <w:rPr>
          <w:rFonts w:hint="eastAsia" w:ascii="仿宋" w:hAnsi="仿宋" w:eastAsia="仿宋"/>
          <w:sz w:val="32"/>
          <w:szCs w:val="32"/>
          <w:highlight w:val="none"/>
          <w:lang w:val="en-US" w:eastAsia="zh-CN"/>
        </w:rPr>
        <w:t>2</w:t>
      </w:r>
      <w:r>
        <w:rPr>
          <w:rFonts w:hint="default" w:ascii="仿宋" w:hAnsi="仿宋" w:eastAsia="仿宋"/>
          <w:sz w:val="32"/>
          <w:szCs w:val="32"/>
          <w:highlight w:val="none"/>
          <w:lang w:val="zh-CN" w:eastAsia="zh-CN"/>
        </w:rPr>
        <w:t>00余次</w:t>
      </w:r>
      <w:r>
        <w:rPr>
          <w:rFonts w:hint="eastAsia" w:ascii="仿宋" w:hAnsi="仿宋" w:eastAsia="仿宋"/>
          <w:sz w:val="32"/>
          <w:szCs w:val="32"/>
          <w:highlight w:val="none"/>
          <w:lang w:val="zh-CN" w:eastAsia="zh-CN"/>
        </w:rPr>
        <w:t>。</w:t>
      </w:r>
    </w:p>
    <w:p>
      <w:pPr>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zh-CN" w:eastAsia="zh-CN"/>
        </w:rPr>
        <w:t>四是招生就业展现新亮点。</w:t>
      </w:r>
      <w:r>
        <w:rPr>
          <w:rFonts w:hint="eastAsia" w:ascii="仿宋" w:hAnsi="仿宋" w:eastAsia="仿宋"/>
          <w:sz w:val="32"/>
          <w:szCs w:val="32"/>
          <w:highlight w:val="none"/>
          <w:lang w:val="en-US" w:eastAsia="zh-CN"/>
        </w:rPr>
        <w:t>启动学校优质生源基地建设，与多所学校签订优质生源基地建设合作协议并授牌，</w:t>
      </w:r>
      <w:r>
        <w:rPr>
          <w:rFonts w:hint="eastAsia" w:ascii="仿宋" w:hAnsi="仿宋" w:eastAsia="仿宋"/>
          <w:sz w:val="32"/>
          <w:szCs w:val="32"/>
          <w:highlight w:val="none"/>
          <w:lang w:val="en-US"/>
        </w:rPr>
        <w:t>生源质量、生源结构进一步优化，招生人数和学生录取分数均创新高，招生就业工作持续向好。</w:t>
      </w:r>
    </w:p>
    <w:p>
      <w:pPr>
        <w:widowControl w:val="0"/>
        <w:numPr>
          <w:ilvl w:val="0"/>
          <w:numId w:val="0"/>
        </w:numPr>
        <w:wordWrap/>
        <w:adjustRightInd/>
        <w:snapToGrid/>
        <w:spacing w:before="0" w:after="0" w:line="600" w:lineRule="exact"/>
        <w:ind w:leftChars="200" w:right="0"/>
        <w:jc w:val="both"/>
        <w:textAlignment w:val="auto"/>
        <w:outlineLvl w:val="9"/>
        <w:rPr>
          <w:rFonts w:ascii="黑体" w:hAnsi="黑体" w:eastAsia="黑体"/>
          <w:szCs w:val="32"/>
        </w:rPr>
      </w:pPr>
      <w:r>
        <w:rPr>
          <w:rFonts w:hint="eastAsia" w:ascii="黑体" w:hAnsi="黑体" w:eastAsia="黑体"/>
          <w:szCs w:val="32"/>
          <w:lang w:eastAsia="zh-CN"/>
        </w:rPr>
        <w:t>七、</w:t>
      </w:r>
      <w:r>
        <w:rPr>
          <w:rFonts w:hint="eastAsia" w:ascii="黑体" w:hAnsi="黑体" w:eastAsia="黑体"/>
          <w:szCs w:val="32"/>
        </w:rPr>
        <w:t>存在的问题及原因分析</w:t>
      </w:r>
    </w:p>
    <w:p>
      <w:pPr>
        <w:pStyle w:val="5"/>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r>
        <w:rPr>
          <w:rFonts w:hint="eastAsia" w:ascii="仿宋_GB2312" w:hAnsi="仿宋"/>
          <w:kern w:val="2"/>
          <w:sz w:val="32"/>
          <w:szCs w:val="32"/>
          <w:lang w:val="en-US" w:eastAsia="zh-CN"/>
        </w:rPr>
        <w:t>1</w:t>
      </w:r>
      <w:r>
        <w:rPr>
          <w:rFonts w:hint="eastAsia" w:ascii="仿宋_GB2312" w:hAnsi="仿宋"/>
          <w:kern w:val="2"/>
          <w:sz w:val="32"/>
          <w:szCs w:val="32"/>
        </w:rPr>
        <w:t>、预算的</w:t>
      </w:r>
      <w:r>
        <w:rPr>
          <w:rFonts w:hint="eastAsia" w:ascii="仿宋_GB2312" w:hAnsi="仿宋"/>
          <w:kern w:val="2"/>
          <w:sz w:val="32"/>
          <w:szCs w:val="32"/>
          <w:lang w:eastAsia="zh-CN"/>
        </w:rPr>
        <w:t>编制</w:t>
      </w:r>
      <w:r>
        <w:rPr>
          <w:rFonts w:hint="eastAsia" w:ascii="仿宋_GB2312" w:hAnsi="仿宋"/>
          <w:kern w:val="2"/>
          <w:sz w:val="32"/>
          <w:szCs w:val="32"/>
        </w:rPr>
        <w:t>有待进一步</w:t>
      </w:r>
      <w:r>
        <w:rPr>
          <w:rFonts w:hint="eastAsia" w:ascii="仿宋_GB2312" w:hAnsi="仿宋"/>
          <w:kern w:val="2"/>
          <w:sz w:val="32"/>
          <w:szCs w:val="32"/>
          <w:lang w:eastAsia="zh-CN"/>
        </w:rPr>
        <w:t>精准</w:t>
      </w:r>
      <w:r>
        <w:rPr>
          <w:rFonts w:hint="eastAsia" w:ascii="仿宋_GB2312" w:hAnsi="仿宋"/>
          <w:kern w:val="2"/>
          <w:sz w:val="32"/>
          <w:szCs w:val="32"/>
        </w:rPr>
        <w:t>。</w:t>
      </w:r>
    </w:p>
    <w:p>
      <w:pPr>
        <w:pStyle w:val="5"/>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r>
        <w:rPr>
          <w:rFonts w:ascii="仿宋_GB2312" w:hAnsi="仿宋"/>
          <w:kern w:val="2"/>
          <w:sz w:val="32"/>
          <w:szCs w:val="32"/>
        </w:rPr>
        <w:t>2</w:t>
      </w:r>
      <w:r>
        <w:rPr>
          <w:rFonts w:hint="eastAsia" w:ascii="仿宋_GB2312" w:hAnsi="仿宋"/>
          <w:kern w:val="2"/>
          <w:sz w:val="32"/>
          <w:szCs w:val="32"/>
        </w:rPr>
        <w:t>、学校财务管理</w:t>
      </w:r>
      <w:r>
        <w:rPr>
          <w:rFonts w:hint="eastAsia" w:ascii="仿宋_GB2312" w:hAnsi="仿宋"/>
          <w:kern w:val="2"/>
          <w:sz w:val="32"/>
          <w:szCs w:val="32"/>
          <w:lang w:eastAsia="zh-CN"/>
        </w:rPr>
        <w:t>的</w:t>
      </w:r>
      <w:r>
        <w:rPr>
          <w:rFonts w:hint="eastAsia" w:ascii="仿宋_GB2312" w:hAnsi="仿宋"/>
          <w:kern w:val="2"/>
          <w:sz w:val="32"/>
          <w:szCs w:val="32"/>
        </w:rPr>
        <w:t>现代管理理念、财务风险防范意识、成本管理意识</w:t>
      </w:r>
      <w:r>
        <w:rPr>
          <w:rFonts w:hint="eastAsia" w:ascii="仿宋_GB2312" w:hAnsi="仿宋"/>
          <w:kern w:val="2"/>
          <w:sz w:val="32"/>
          <w:szCs w:val="32"/>
          <w:lang w:eastAsia="zh-CN"/>
        </w:rPr>
        <w:t>不强</w:t>
      </w:r>
      <w:r>
        <w:rPr>
          <w:rFonts w:hint="eastAsia" w:ascii="仿宋_GB2312" w:hAnsi="仿宋"/>
          <w:kern w:val="2"/>
          <w:sz w:val="32"/>
          <w:szCs w:val="32"/>
        </w:rPr>
        <w:t>。</w:t>
      </w:r>
      <w:r>
        <w:rPr>
          <w:rFonts w:hint="eastAsia" w:ascii="仿宋_GB2312" w:hAnsi="仿宋"/>
          <w:kern w:val="2"/>
          <w:sz w:val="32"/>
          <w:szCs w:val="32"/>
          <w:lang w:eastAsia="zh-CN"/>
        </w:rPr>
        <w:t>更多地</w:t>
      </w:r>
      <w:r>
        <w:rPr>
          <w:rFonts w:hint="eastAsia" w:ascii="仿宋_GB2312" w:hAnsi="仿宋"/>
          <w:kern w:val="2"/>
          <w:sz w:val="32"/>
          <w:szCs w:val="32"/>
        </w:rPr>
        <w:t>停留在繁琐的记账、报账等事务性工作上，无法应对复杂多变的经济形势和</w:t>
      </w:r>
      <w:r>
        <w:rPr>
          <w:rFonts w:hint="eastAsia" w:ascii="仿宋_GB2312" w:hAnsi="仿宋"/>
          <w:kern w:val="2"/>
          <w:sz w:val="32"/>
          <w:szCs w:val="32"/>
          <w:lang w:eastAsia="zh-CN"/>
        </w:rPr>
        <w:t>学</w:t>
      </w:r>
      <w:r>
        <w:rPr>
          <w:rFonts w:hint="eastAsia" w:ascii="仿宋_GB2312" w:hAnsi="仿宋"/>
          <w:kern w:val="2"/>
          <w:sz w:val="32"/>
          <w:szCs w:val="32"/>
        </w:rPr>
        <w:t>校快速发展的需要。</w:t>
      </w:r>
    </w:p>
    <w:p>
      <w:pPr>
        <w:pStyle w:val="5"/>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r>
        <w:rPr>
          <w:rFonts w:ascii="仿宋_GB2312" w:hAnsi="仿宋"/>
          <w:kern w:val="2"/>
          <w:sz w:val="32"/>
          <w:szCs w:val="32"/>
        </w:rPr>
        <w:t>3</w:t>
      </w:r>
      <w:r>
        <w:rPr>
          <w:rFonts w:hint="eastAsia" w:ascii="仿宋_GB2312" w:hAnsi="仿宋"/>
          <w:kern w:val="2"/>
          <w:sz w:val="32"/>
          <w:szCs w:val="32"/>
        </w:rPr>
        <w:t>、财务管理人员的整体素质不高，制约了高校财务管理水平的提高。</w:t>
      </w:r>
      <w:r>
        <w:rPr>
          <w:rFonts w:hint="eastAsia" w:ascii="仿宋_GB2312" w:hAnsi="仿宋"/>
          <w:kern w:val="2"/>
          <w:sz w:val="32"/>
          <w:szCs w:val="32"/>
          <w:lang w:eastAsia="zh-CN"/>
        </w:rPr>
        <w:t>学</w:t>
      </w:r>
      <w:r>
        <w:rPr>
          <w:rFonts w:hint="eastAsia" w:ascii="仿宋_GB2312" w:hAnsi="仿宋"/>
          <w:kern w:val="2"/>
          <w:sz w:val="32"/>
          <w:szCs w:val="32"/>
        </w:rPr>
        <w:t>校财务人员的整体素质与</w:t>
      </w:r>
      <w:r>
        <w:rPr>
          <w:rFonts w:hint="eastAsia" w:ascii="仿宋_GB2312" w:hAnsi="仿宋"/>
          <w:kern w:val="2"/>
          <w:sz w:val="32"/>
          <w:szCs w:val="32"/>
          <w:lang w:eastAsia="zh-CN"/>
        </w:rPr>
        <w:t>学校的高速发展</w:t>
      </w:r>
      <w:r>
        <w:rPr>
          <w:rFonts w:hint="eastAsia" w:ascii="仿宋_GB2312" w:hAnsi="仿宋"/>
          <w:kern w:val="2"/>
          <w:sz w:val="32"/>
          <w:szCs w:val="32"/>
        </w:rPr>
        <w:t>要求相差甚远。</w:t>
      </w:r>
    </w:p>
    <w:p>
      <w:pPr>
        <w:widowControl w:val="0"/>
        <w:numPr>
          <w:ilvl w:val="0"/>
          <w:numId w:val="0"/>
        </w:numPr>
        <w:wordWrap/>
        <w:adjustRightInd/>
        <w:snapToGrid/>
        <w:spacing w:before="0" w:after="0" w:line="600" w:lineRule="exact"/>
        <w:ind w:leftChars="200" w:right="0"/>
        <w:jc w:val="both"/>
        <w:textAlignment w:val="auto"/>
        <w:outlineLvl w:val="9"/>
        <w:rPr>
          <w:rFonts w:ascii="黑体" w:hAnsi="黑体" w:eastAsia="黑体"/>
          <w:szCs w:val="32"/>
        </w:rPr>
      </w:pPr>
      <w:r>
        <w:rPr>
          <w:rFonts w:hint="eastAsia" w:ascii="黑体" w:hAnsi="黑体" w:eastAsia="黑体"/>
          <w:szCs w:val="32"/>
          <w:lang w:eastAsia="zh-CN"/>
        </w:rPr>
        <w:t>八、</w:t>
      </w:r>
      <w:r>
        <w:rPr>
          <w:rFonts w:hint="eastAsia" w:ascii="黑体" w:hAnsi="黑体" w:eastAsia="黑体"/>
          <w:szCs w:val="32"/>
        </w:rPr>
        <w:t>下一步改进措施</w:t>
      </w:r>
    </w:p>
    <w:p>
      <w:pPr>
        <w:pStyle w:val="5"/>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r>
        <w:rPr>
          <w:rFonts w:hint="eastAsia" w:ascii="仿宋_GB2312" w:hAnsi="仿宋"/>
          <w:kern w:val="2"/>
          <w:sz w:val="32"/>
          <w:szCs w:val="32"/>
        </w:rPr>
        <w:t>针对上述存在的问题及我校整体支出管理工作的需要，拟实施的改进措施如下：</w:t>
      </w:r>
    </w:p>
    <w:p>
      <w:pPr>
        <w:pStyle w:val="5"/>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１、进一步重视预算的编制工作，提高预算编制的精确度，尽量减少预算执行调整、结转和结余注销的情形。</w:t>
      </w:r>
    </w:p>
    <w:p>
      <w:pPr>
        <w:pStyle w:val="5"/>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２、对财政资金下达时间滞后的项目，加强与财政部门的沟通联系，尽早取得资金的拨付，保障项目资金的投入进度，发挥资金的使用效益。</w:t>
      </w:r>
    </w:p>
    <w:p>
      <w:pPr>
        <w:pStyle w:val="5"/>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３、加强财务管理人员队伍建设，加强财务人员沟通协调能力的培养</w:t>
      </w:r>
      <w:r>
        <w:rPr>
          <w:rFonts w:hint="eastAsia" w:ascii="仿宋_GB2312" w:hAnsi="仿宋_GB2312" w:cs="仿宋_GB2312"/>
          <w:kern w:val="2"/>
          <w:sz w:val="32"/>
          <w:szCs w:val="32"/>
          <w:lang w:eastAsia="zh-CN"/>
        </w:rPr>
        <w:t>、加强</w:t>
      </w:r>
      <w:r>
        <w:rPr>
          <w:rFonts w:hint="eastAsia" w:ascii="仿宋_GB2312" w:hAnsi="仿宋_GB2312" w:eastAsia="仿宋_GB2312" w:cs="仿宋_GB2312"/>
          <w:kern w:val="2"/>
          <w:sz w:val="32"/>
          <w:szCs w:val="32"/>
        </w:rPr>
        <w:t>财务管理人员职业道德修养的培养</w:t>
      </w:r>
      <w:r>
        <w:rPr>
          <w:rFonts w:hint="eastAsia" w:ascii="仿宋_GB2312" w:hAnsi="仿宋_GB2312" w:cs="仿宋_GB2312"/>
          <w:kern w:val="2"/>
          <w:sz w:val="32"/>
          <w:szCs w:val="32"/>
          <w:lang w:eastAsia="zh-CN"/>
        </w:rPr>
        <w:t>、</w:t>
      </w:r>
      <w:r>
        <w:rPr>
          <w:rFonts w:hint="eastAsia" w:ascii="仿宋_GB2312" w:hAnsi="仿宋_GB2312" w:eastAsia="仿宋_GB2312" w:cs="仿宋_GB2312"/>
          <w:kern w:val="2"/>
          <w:sz w:val="32"/>
          <w:szCs w:val="32"/>
        </w:rPr>
        <w:t>建立梯级人才培养新机制</w:t>
      </w:r>
      <w:r>
        <w:rPr>
          <w:rFonts w:hint="eastAsia" w:ascii="仿宋_GB2312" w:hAnsi="仿宋_GB2312" w:cs="仿宋_GB2312"/>
          <w:kern w:val="2"/>
          <w:sz w:val="32"/>
          <w:szCs w:val="32"/>
          <w:lang w:eastAsia="zh-CN"/>
        </w:rPr>
        <w:t>，</w:t>
      </w:r>
      <w:r>
        <w:rPr>
          <w:rFonts w:hint="eastAsia" w:ascii="仿宋_GB2312" w:hAnsi="仿宋_GB2312" w:eastAsia="仿宋_GB2312" w:cs="仿宋_GB2312"/>
          <w:kern w:val="2"/>
          <w:sz w:val="32"/>
          <w:szCs w:val="32"/>
        </w:rPr>
        <w:t>提升</w:t>
      </w:r>
      <w:r>
        <w:rPr>
          <w:rFonts w:hint="eastAsia" w:ascii="仿宋_GB2312" w:hAnsi="仿宋_GB2312" w:cs="仿宋_GB2312"/>
          <w:kern w:val="2"/>
          <w:sz w:val="32"/>
          <w:szCs w:val="32"/>
          <w:lang w:eastAsia="zh-CN"/>
        </w:rPr>
        <w:t>学校</w:t>
      </w:r>
      <w:r>
        <w:rPr>
          <w:rFonts w:hint="eastAsia" w:ascii="仿宋_GB2312" w:hAnsi="仿宋_GB2312" w:eastAsia="仿宋_GB2312" w:cs="仿宋_GB2312"/>
          <w:kern w:val="2"/>
          <w:sz w:val="32"/>
          <w:szCs w:val="32"/>
        </w:rPr>
        <w:t>财务管理工作的整体水平。</w:t>
      </w:r>
    </w:p>
    <w:p>
      <w:pPr>
        <w:pStyle w:val="5"/>
        <w:widowControl w:val="0"/>
        <w:shd w:val="clear" w:color="auto" w:fill="FFFFFF"/>
        <w:wordWrap/>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cs="仿宋_GB2312"/>
          <w:kern w:val="2"/>
          <w:sz w:val="32"/>
          <w:szCs w:val="32"/>
          <w:lang w:val="en-US" w:eastAsia="zh-CN"/>
        </w:rPr>
        <w:t>4、</w:t>
      </w:r>
      <w:r>
        <w:rPr>
          <w:rFonts w:hint="eastAsia" w:ascii="仿宋_GB2312" w:hAnsi="仿宋_GB2312" w:eastAsia="仿宋_GB2312" w:cs="仿宋_GB2312"/>
          <w:kern w:val="2"/>
          <w:sz w:val="32"/>
          <w:szCs w:val="32"/>
        </w:rPr>
        <w:t>加强内部控制制度的建设，规范经济运行机制。从学校领导到各个员工都应对内部控制给予足够的重视，做到全员参与，内部控制</w:t>
      </w:r>
      <w:r>
        <w:rPr>
          <w:rFonts w:hint="eastAsia" w:ascii="仿宋_GB2312" w:hAnsi="仿宋_GB2312" w:cs="仿宋_GB2312"/>
          <w:kern w:val="2"/>
          <w:sz w:val="32"/>
          <w:szCs w:val="32"/>
          <w:lang w:eastAsia="zh-CN"/>
        </w:rPr>
        <w:t>真正做到落地</w:t>
      </w:r>
      <w:r>
        <w:rPr>
          <w:rFonts w:hint="eastAsia" w:ascii="仿宋_GB2312" w:hAnsi="仿宋_GB2312" w:eastAsia="仿宋_GB2312" w:cs="仿宋_GB2312"/>
          <w:kern w:val="2"/>
          <w:sz w:val="32"/>
          <w:szCs w:val="32"/>
        </w:rPr>
        <w:t>有效实施。</w:t>
      </w:r>
    </w:p>
    <w:p>
      <w:pPr>
        <w:widowControl w:val="0"/>
        <w:numPr>
          <w:ilvl w:val="0"/>
          <w:numId w:val="0"/>
        </w:numPr>
        <w:wordWrap/>
        <w:adjustRightInd/>
        <w:snapToGrid/>
        <w:spacing w:before="0" w:after="0" w:line="600" w:lineRule="exact"/>
        <w:ind w:leftChars="200" w:right="0"/>
        <w:jc w:val="both"/>
        <w:textAlignment w:val="auto"/>
        <w:outlineLvl w:val="9"/>
        <w:rPr>
          <w:rFonts w:ascii="黑体" w:hAnsi="黑体" w:eastAsia="黑体"/>
          <w:szCs w:val="32"/>
        </w:rPr>
      </w:pPr>
      <w:r>
        <w:rPr>
          <w:rFonts w:hint="eastAsia" w:ascii="黑体" w:hAnsi="黑体" w:eastAsia="黑体"/>
          <w:szCs w:val="32"/>
          <w:lang w:eastAsia="zh-CN"/>
        </w:rPr>
        <w:t>九、</w:t>
      </w:r>
      <w:r>
        <w:rPr>
          <w:rFonts w:hint="eastAsia" w:ascii="黑体" w:hAnsi="黑体" w:eastAsia="黑体"/>
          <w:szCs w:val="32"/>
        </w:rPr>
        <w:t>部门整体支出绩效自评结果拟应用和公开情况</w:t>
      </w:r>
    </w:p>
    <w:p>
      <w:pPr>
        <w:pStyle w:val="5"/>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r>
        <w:rPr>
          <w:rFonts w:hint="eastAsia" w:ascii="仿宋_GB2312" w:hAnsi="仿宋"/>
          <w:kern w:val="2"/>
          <w:sz w:val="32"/>
          <w:szCs w:val="32"/>
        </w:rPr>
        <w:t>财政支出绩效评价结果应用是增强资金绩效观念，加强财政支出管理，优化财政支出结构，提高资金管理水平和使用效益的重要手段。学校重视绩效评价结果的应用工作，积极探索和建立了一套与预算管理相结合、多渠道应用评价结果的有效机制，充分发挥绩效评价的以评促管效能。</w:t>
      </w:r>
    </w:p>
    <w:p>
      <w:pPr>
        <w:pStyle w:val="5"/>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r>
        <w:rPr>
          <w:rFonts w:hint="eastAsia" w:ascii="仿宋_GB2312" w:hAnsi="仿宋"/>
          <w:kern w:val="2"/>
          <w:sz w:val="32"/>
          <w:szCs w:val="32"/>
        </w:rPr>
        <w:t>绩效评价结果</w:t>
      </w:r>
      <w:r>
        <w:rPr>
          <w:rFonts w:hint="eastAsia" w:ascii="仿宋_GB2312" w:hAnsi="仿宋"/>
          <w:kern w:val="2"/>
          <w:sz w:val="32"/>
          <w:szCs w:val="32"/>
          <w:lang w:eastAsia="zh-CN"/>
        </w:rPr>
        <w:t>将</w:t>
      </w:r>
      <w:r>
        <w:rPr>
          <w:rFonts w:hint="eastAsia" w:ascii="仿宋_GB2312" w:hAnsi="仿宋"/>
          <w:kern w:val="2"/>
          <w:sz w:val="32"/>
          <w:szCs w:val="32"/>
        </w:rPr>
        <w:t>作为</w:t>
      </w:r>
      <w:r>
        <w:rPr>
          <w:rFonts w:hint="eastAsia" w:ascii="仿宋_GB2312" w:hAnsi="仿宋"/>
          <w:kern w:val="2"/>
          <w:sz w:val="32"/>
          <w:szCs w:val="32"/>
          <w:lang w:eastAsia="zh-CN"/>
        </w:rPr>
        <w:t>学校</w:t>
      </w:r>
      <w:r>
        <w:rPr>
          <w:rFonts w:hint="eastAsia" w:ascii="仿宋_GB2312" w:hAnsi="仿宋"/>
          <w:kern w:val="2"/>
          <w:sz w:val="32"/>
          <w:szCs w:val="32"/>
        </w:rPr>
        <w:t>下年安排部门整体支出资金的重要依据，为下一年预算编制提供参考。</w:t>
      </w:r>
    </w:p>
    <w:p>
      <w:pPr>
        <w:pStyle w:val="5"/>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r>
        <w:rPr>
          <w:rFonts w:hint="eastAsia" w:ascii="仿宋_GB2312" w:hAnsi="仿宋"/>
          <w:kern w:val="2"/>
          <w:sz w:val="32"/>
          <w:szCs w:val="32"/>
        </w:rPr>
        <w:t>（</w:t>
      </w:r>
      <w:r>
        <w:rPr>
          <w:rFonts w:hint="eastAsia" w:ascii="仿宋_GB2312" w:hAnsi="仿宋"/>
          <w:kern w:val="2"/>
          <w:sz w:val="32"/>
          <w:szCs w:val="32"/>
          <w:lang w:eastAsia="zh-CN"/>
        </w:rPr>
        <w:t>一</w:t>
      </w:r>
      <w:r>
        <w:rPr>
          <w:rFonts w:hint="eastAsia" w:ascii="仿宋_GB2312" w:hAnsi="仿宋"/>
          <w:kern w:val="2"/>
          <w:sz w:val="32"/>
          <w:szCs w:val="32"/>
        </w:rPr>
        <w:t>）通过绩效评价结果</w:t>
      </w:r>
      <w:r>
        <w:rPr>
          <w:rFonts w:hint="eastAsia" w:ascii="仿宋_GB2312" w:hAnsi="仿宋"/>
          <w:kern w:val="2"/>
          <w:sz w:val="32"/>
          <w:szCs w:val="32"/>
          <w:lang w:eastAsia="zh-CN"/>
        </w:rPr>
        <w:t>能够</w:t>
      </w:r>
      <w:r>
        <w:rPr>
          <w:rFonts w:hint="eastAsia" w:ascii="仿宋_GB2312" w:hAnsi="仿宋"/>
          <w:kern w:val="2"/>
          <w:sz w:val="32"/>
          <w:szCs w:val="32"/>
        </w:rPr>
        <w:t>了解资金的配置是否合理，是否发挥了应有的作用，支出规模是否适当，</w:t>
      </w:r>
      <w:r>
        <w:rPr>
          <w:rFonts w:hint="eastAsia" w:ascii="仿宋_GB2312" w:hAnsi="仿宋"/>
          <w:kern w:val="2"/>
          <w:sz w:val="32"/>
          <w:szCs w:val="32"/>
          <w:lang w:eastAsia="zh-CN"/>
        </w:rPr>
        <w:t>学校将</w:t>
      </w:r>
      <w:r>
        <w:rPr>
          <w:rFonts w:hint="eastAsia" w:ascii="仿宋_GB2312" w:hAnsi="仿宋"/>
          <w:kern w:val="2"/>
          <w:sz w:val="32"/>
          <w:szCs w:val="32"/>
        </w:rPr>
        <w:t>总结经验和教训，进一步改进工作，提高财政资源的</w:t>
      </w:r>
      <w:r>
        <w:rPr>
          <w:rFonts w:hint="eastAsia" w:ascii="仿宋_GB2312" w:hAnsi="仿宋"/>
          <w:kern w:val="2"/>
          <w:sz w:val="32"/>
          <w:szCs w:val="32"/>
          <w:lang w:eastAsia="zh-CN"/>
        </w:rPr>
        <w:t>使用</w:t>
      </w:r>
      <w:r>
        <w:rPr>
          <w:rFonts w:hint="eastAsia" w:ascii="仿宋_GB2312" w:hAnsi="仿宋"/>
          <w:kern w:val="2"/>
          <w:sz w:val="32"/>
          <w:szCs w:val="32"/>
        </w:rPr>
        <w:t>效率。</w:t>
      </w:r>
    </w:p>
    <w:p>
      <w:pPr>
        <w:pStyle w:val="5"/>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
          <w:kern w:val="2"/>
          <w:sz w:val="32"/>
          <w:szCs w:val="32"/>
        </w:rPr>
      </w:pPr>
      <w:r>
        <w:rPr>
          <w:rFonts w:hint="eastAsia" w:ascii="仿宋_GB2312" w:hAnsi="仿宋"/>
          <w:kern w:val="2"/>
          <w:sz w:val="32"/>
          <w:szCs w:val="32"/>
        </w:rPr>
        <w:t>（</w:t>
      </w:r>
      <w:r>
        <w:rPr>
          <w:rFonts w:hint="eastAsia" w:ascii="仿宋_GB2312" w:hAnsi="仿宋"/>
          <w:kern w:val="2"/>
          <w:sz w:val="32"/>
          <w:szCs w:val="32"/>
          <w:lang w:eastAsia="zh-CN"/>
        </w:rPr>
        <w:t>二</w:t>
      </w:r>
      <w:r>
        <w:rPr>
          <w:rFonts w:hint="eastAsia" w:ascii="仿宋_GB2312" w:hAnsi="仿宋"/>
          <w:kern w:val="2"/>
          <w:sz w:val="32"/>
          <w:szCs w:val="32"/>
        </w:rPr>
        <w:t>）对绩效评价结果中存在的问题，</w:t>
      </w:r>
      <w:r>
        <w:rPr>
          <w:rFonts w:hint="eastAsia" w:ascii="仿宋_GB2312" w:hAnsi="仿宋"/>
          <w:kern w:val="2"/>
          <w:sz w:val="32"/>
          <w:szCs w:val="32"/>
          <w:lang w:eastAsia="zh-CN"/>
        </w:rPr>
        <w:t>学校将</w:t>
      </w:r>
      <w:r>
        <w:rPr>
          <w:rFonts w:hint="eastAsia" w:ascii="仿宋_GB2312" w:hAnsi="仿宋"/>
          <w:kern w:val="2"/>
          <w:sz w:val="32"/>
          <w:szCs w:val="32"/>
        </w:rPr>
        <w:t>督促落实整改措施，及时督促调整工作计划、绩效目标，加强项目财务管理，提高资金使用效益；对绩效评价中发现的各种违法、违规问题依法处理，严肃财经纪律，确保财政资金的有效使用。</w:t>
      </w:r>
    </w:p>
    <w:p>
      <w:pPr>
        <w:pStyle w:val="5"/>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
          <w:kern w:val="2"/>
          <w:sz w:val="32"/>
          <w:szCs w:val="32"/>
          <w:lang w:eastAsia="zh-CN"/>
        </w:rPr>
      </w:pPr>
      <w:r>
        <w:rPr>
          <w:rFonts w:hint="eastAsia" w:ascii="仿宋_GB2312" w:hAnsi="仿宋"/>
          <w:kern w:val="2"/>
          <w:sz w:val="32"/>
          <w:szCs w:val="32"/>
          <w:lang w:eastAsia="zh-CN"/>
        </w:rPr>
        <w:t>（三）部门整体支出绩效自评结果将在学校官网上进行公开公示，接受广大师生和社会的监督。</w:t>
      </w:r>
    </w:p>
    <w:p>
      <w:pPr>
        <w:pStyle w:val="5"/>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
          <w:kern w:val="2"/>
          <w:sz w:val="32"/>
          <w:szCs w:val="32"/>
          <w:lang w:eastAsia="zh-CN"/>
        </w:rPr>
      </w:pPr>
    </w:p>
    <w:p>
      <w:pPr>
        <w:pStyle w:val="5"/>
        <w:widowControl w:val="0"/>
        <w:shd w:val="clear" w:color="auto" w:fill="FFFFFF"/>
        <w:wordWrap/>
        <w:adjustRightInd/>
        <w:snapToGrid/>
        <w:spacing w:before="0" w:beforeAutospacing="0" w:after="0" w:afterAutospacing="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年度部门整体支出绩效评价基础数据表　　　　　　　　　　　　　　　　　　　　　　　　　　　　　　　　　　　　　　　　　　　　　　　　　　　　　　　　　　　　　　　　　　　　　　　　　　　　　　　　　　　　　　　　　　　　　　　　　　　　　　　　　　　　　　　　　　　　　　　　　　　　　　　　　　　　　　　　　　　　　　　　　　　　　　</w:t>
      </w:r>
    </w:p>
    <w:p>
      <w:pPr>
        <w:pStyle w:val="5"/>
        <w:widowControl w:val="0"/>
        <w:shd w:val="clear" w:color="auto" w:fill="FFFFFF"/>
        <w:wordWrap/>
        <w:adjustRightInd/>
        <w:snapToGrid/>
        <w:spacing w:before="0" w:beforeAutospacing="0" w:after="0" w:afterAutospacing="0" w:line="600" w:lineRule="exact"/>
        <w:ind w:left="0" w:leftChars="0" w:right="0" w:firstLine="640" w:firstLineChars="200"/>
        <w:textAlignment w:val="auto"/>
        <w:outlineLvl w:val="9"/>
        <w:rPr>
          <w:rFonts w:hint="default" w:ascii="仿宋" w:hAnsi="仿宋" w:eastAsia="仿宋"/>
          <w:sz w:val="32"/>
          <w:szCs w:val="32"/>
          <w:highlight w:val="none"/>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年度部门整体支出绩效自评表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1</w:t>
      </w: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小标宋_GBK"/>
          <w:kern w:val="0"/>
          <w:sz w:val="36"/>
          <w:szCs w:val="36"/>
        </w:rPr>
      </w:pPr>
      <w:r>
        <w:rPr>
          <w:rFonts w:eastAsia="方正小标宋_GBK"/>
          <w:kern w:val="0"/>
          <w:sz w:val="36"/>
          <w:szCs w:val="36"/>
        </w:rPr>
        <w:t>202</w:t>
      </w:r>
      <w:r>
        <w:rPr>
          <w:rFonts w:hint="eastAsia" w:eastAsia="方正小标宋_GBK"/>
          <w:kern w:val="0"/>
          <w:sz w:val="36"/>
          <w:szCs w:val="36"/>
          <w:lang w:val="en-US" w:eastAsia="zh-CN"/>
        </w:rPr>
        <w:t>1</w:t>
      </w:r>
      <w:r>
        <w:rPr>
          <w:rFonts w:eastAsia="方正小标宋_GBK"/>
          <w:kern w:val="0"/>
          <w:sz w:val="36"/>
          <w:szCs w:val="36"/>
        </w:rPr>
        <w:t>年度部门整体支出绩效评价基础数据表</w:t>
      </w:r>
    </w:p>
    <w:tbl>
      <w:tblPr>
        <w:tblStyle w:val="3"/>
        <w:tblW w:w="9695" w:type="dxa"/>
        <w:jc w:val="center"/>
        <w:tblLayout w:type="fixed"/>
        <w:tblCellMar>
          <w:top w:w="0" w:type="dxa"/>
          <w:left w:w="108" w:type="dxa"/>
          <w:bottom w:w="0" w:type="dxa"/>
          <w:right w:w="108" w:type="dxa"/>
        </w:tblCellMar>
      </w:tblPr>
      <w:tblGrid>
        <w:gridCol w:w="3214"/>
        <w:gridCol w:w="1200"/>
        <w:gridCol w:w="1125"/>
        <w:gridCol w:w="1080"/>
        <w:gridCol w:w="1357"/>
        <w:gridCol w:w="743"/>
        <w:gridCol w:w="976"/>
      </w:tblGrid>
      <w:tr>
        <w:tblPrEx>
          <w:tblCellMar>
            <w:top w:w="0" w:type="dxa"/>
            <w:left w:w="108" w:type="dxa"/>
            <w:bottom w:w="0" w:type="dxa"/>
            <w:right w:w="108" w:type="dxa"/>
          </w:tblCellMar>
        </w:tblPrEx>
        <w:trPr>
          <w:trHeight w:val="397" w:hRule="atLeast"/>
          <w:jc w:val="center"/>
        </w:trPr>
        <w:tc>
          <w:tcPr>
            <w:tcW w:w="32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财政供养人员情况（人）</w:t>
            </w:r>
          </w:p>
        </w:tc>
        <w:tc>
          <w:tcPr>
            <w:tcW w:w="232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编制数</w:t>
            </w:r>
          </w:p>
        </w:tc>
        <w:tc>
          <w:tcPr>
            <w:tcW w:w="243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202</w:t>
            </w:r>
            <w:r>
              <w:rPr>
                <w:rFonts w:hint="eastAsia" w:ascii="Times New Roman" w:hAnsi="Times New Roman" w:cs="Times New Roman"/>
                <w:b/>
                <w:bCs/>
                <w:kern w:val="0"/>
                <w:sz w:val="21"/>
                <w:szCs w:val="21"/>
                <w:lang w:val="en-US" w:eastAsia="zh-CN"/>
              </w:rPr>
              <w:t>1</w:t>
            </w:r>
            <w:r>
              <w:rPr>
                <w:rFonts w:ascii="Times New Roman" w:hAnsi="Times New Roman" w:eastAsia="仿宋_GB2312" w:cs="Times New Roman"/>
                <w:b/>
                <w:bCs/>
                <w:kern w:val="0"/>
                <w:sz w:val="21"/>
                <w:szCs w:val="21"/>
              </w:rPr>
              <w:t>年实际在职人数</w:t>
            </w:r>
          </w:p>
        </w:tc>
        <w:tc>
          <w:tcPr>
            <w:tcW w:w="171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控制率</w:t>
            </w:r>
          </w:p>
        </w:tc>
      </w:tr>
      <w:tr>
        <w:tblPrEx>
          <w:tblCellMar>
            <w:top w:w="0" w:type="dxa"/>
            <w:left w:w="108" w:type="dxa"/>
            <w:bottom w:w="0" w:type="dxa"/>
            <w:right w:w="108" w:type="dxa"/>
          </w:tblCellMar>
        </w:tblPrEx>
        <w:trPr>
          <w:trHeight w:val="397" w:hRule="atLeast"/>
          <w:jc w:val="center"/>
        </w:trPr>
        <w:tc>
          <w:tcPr>
            <w:tcW w:w="32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p>
        </w:tc>
        <w:tc>
          <w:tcPr>
            <w:tcW w:w="232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360</w:t>
            </w:r>
          </w:p>
        </w:tc>
        <w:tc>
          <w:tcPr>
            <w:tcW w:w="243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ascii="Times New Roman" w:hAnsi="Times New Roman" w:cs="Times New Roman"/>
                <w:kern w:val="0"/>
                <w:sz w:val="21"/>
                <w:szCs w:val="21"/>
                <w:lang w:val="en-US" w:eastAsia="zh-CN"/>
              </w:rPr>
              <w:t>336</w:t>
            </w:r>
            <w:r>
              <w:rPr>
                <w:rFonts w:ascii="Times New Roman" w:hAnsi="Times New Roman" w:eastAsia="仿宋_GB2312" w:cs="Times New Roman"/>
                <w:kern w:val="0"/>
                <w:sz w:val="21"/>
                <w:szCs w:val="21"/>
              </w:rPr>
              <w:t>　</w:t>
            </w:r>
          </w:p>
        </w:tc>
        <w:tc>
          <w:tcPr>
            <w:tcW w:w="171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ascii="Times New Roman" w:hAnsi="Times New Roman" w:cs="Times New Roman"/>
                <w:kern w:val="0"/>
                <w:sz w:val="21"/>
                <w:szCs w:val="21"/>
                <w:lang w:val="en-US" w:eastAsia="zh-CN"/>
              </w:rPr>
              <w:t>93.33%</w:t>
            </w: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经费控制情况（万元）</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w:t>
            </w:r>
            <w:r>
              <w:rPr>
                <w:rFonts w:hint="eastAsia" w:ascii="Times New Roman" w:hAnsi="Times New Roman" w:cs="Times New Roman"/>
                <w:b/>
                <w:bCs/>
                <w:kern w:val="0"/>
                <w:sz w:val="21"/>
                <w:szCs w:val="21"/>
                <w:lang w:val="en-US" w:eastAsia="zh-CN"/>
              </w:rPr>
              <w:t>20</w:t>
            </w:r>
            <w:r>
              <w:rPr>
                <w:rFonts w:ascii="Times New Roman" w:hAnsi="Times New Roman" w:eastAsia="仿宋_GB2312" w:cs="Times New Roman"/>
                <w:b/>
                <w:bCs/>
                <w:kern w:val="0"/>
                <w:sz w:val="21"/>
                <w:szCs w:val="21"/>
              </w:rPr>
              <w:t>年决算数</w:t>
            </w: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
                <w:bCs/>
                <w:kern w:val="0"/>
                <w:sz w:val="21"/>
                <w:szCs w:val="21"/>
                <w:lang w:val="en-US" w:eastAsia="zh-CN"/>
              </w:rPr>
            </w:pPr>
            <w:r>
              <w:rPr>
                <w:rFonts w:ascii="Times New Roman" w:hAnsi="Times New Roman" w:eastAsia="仿宋_GB2312" w:cs="Times New Roman"/>
                <w:b/>
                <w:bCs/>
                <w:kern w:val="0"/>
                <w:sz w:val="21"/>
                <w:szCs w:val="21"/>
              </w:rPr>
              <w:t>202</w:t>
            </w:r>
            <w:r>
              <w:rPr>
                <w:rFonts w:hint="eastAsia" w:ascii="Times New Roman" w:hAnsi="Times New Roman" w:cs="Times New Roman"/>
                <w:b/>
                <w:bCs/>
                <w:kern w:val="0"/>
                <w:sz w:val="21"/>
                <w:szCs w:val="21"/>
                <w:lang w:val="en-US" w:eastAsia="zh-CN"/>
              </w:rPr>
              <w:t>1</w:t>
            </w:r>
            <w:r>
              <w:rPr>
                <w:rFonts w:ascii="Times New Roman" w:hAnsi="Times New Roman" w:eastAsia="仿宋_GB2312" w:cs="Times New Roman"/>
                <w:b/>
                <w:bCs/>
                <w:kern w:val="0"/>
                <w:sz w:val="21"/>
                <w:szCs w:val="21"/>
              </w:rPr>
              <w:t>年预算数</w:t>
            </w:r>
            <w:r>
              <w:rPr>
                <w:rFonts w:hint="eastAsia" w:ascii="Times New Roman" w:hAnsi="Times New Roman" w:cs="Times New Roman"/>
                <w:b/>
                <w:bCs/>
                <w:kern w:val="0"/>
                <w:sz w:val="21"/>
                <w:szCs w:val="21"/>
                <w:lang w:val="en-US" w:eastAsia="zh-CN"/>
              </w:rPr>
              <w:t>(调整后）</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202</w:t>
            </w:r>
            <w:r>
              <w:rPr>
                <w:rFonts w:hint="eastAsia" w:ascii="Times New Roman" w:hAnsi="Times New Roman" w:cs="Times New Roman"/>
                <w:b/>
                <w:bCs/>
                <w:kern w:val="0"/>
                <w:sz w:val="21"/>
                <w:szCs w:val="21"/>
                <w:lang w:val="en-US" w:eastAsia="zh-CN"/>
              </w:rPr>
              <w:t>1</w:t>
            </w:r>
            <w:r>
              <w:rPr>
                <w:rFonts w:ascii="Times New Roman" w:hAnsi="Times New Roman" w:eastAsia="仿宋_GB2312" w:cs="Times New Roman"/>
                <w:b/>
                <w:bCs/>
                <w:kern w:val="0"/>
                <w:sz w:val="21"/>
                <w:szCs w:val="21"/>
              </w:rPr>
              <w:t>年决算数</w:t>
            </w:r>
          </w:p>
        </w:tc>
      </w:tr>
      <w:tr>
        <w:tblPrEx>
          <w:tblCellMar>
            <w:top w:w="0" w:type="dxa"/>
            <w:left w:w="108" w:type="dxa"/>
            <w:bottom w:w="0" w:type="dxa"/>
            <w:right w:w="108" w:type="dxa"/>
          </w:tblCellMar>
        </w:tblPrEx>
        <w:trPr>
          <w:trHeight w:val="9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eastAsia="zh-CN"/>
              </w:rPr>
            </w:pPr>
            <w:r>
              <w:rPr>
                <w:rFonts w:hint="eastAsia" w:ascii="Times New Roman" w:hAnsi="Times New Roman" w:cs="Times New Roman"/>
                <w:b/>
                <w:bCs/>
                <w:kern w:val="0"/>
                <w:sz w:val="21"/>
                <w:szCs w:val="21"/>
                <w:lang w:eastAsia="zh-CN"/>
              </w:rPr>
              <w:t>支出总额</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1"/>
                <w:szCs w:val="21"/>
                <w:lang w:val="en-US" w:eastAsia="zh-CN"/>
              </w:rPr>
            </w:pPr>
            <w:r>
              <w:rPr>
                <w:rFonts w:hint="eastAsia" w:ascii="Times New Roman" w:hAnsi="Times New Roman" w:cs="Times New Roman"/>
                <w:b/>
                <w:bCs/>
                <w:kern w:val="0"/>
                <w:sz w:val="21"/>
                <w:szCs w:val="21"/>
                <w:lang w:val="en-US" w:eastAsia="zh-CN"/>
              </w:rPr>
              <w:t>10733.47</w:t>
            </w: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b/>
                <w:bCs/>
                <w:kern w:val="0"/>
                <w:sz w:val="21"/>
                <w:szCs w:val="21"/>
                <w:lang w:val="en-US" w:eastAsia="zh-CN"/>
              </w:rPr>
            </w:pPr>
            <w:r>
              <w:rPr>
                <w:rFonts w:hint="eastAsia" w:ascii="Times New Roman" w:hAnsi="Times New Roman" w:cs="Times New Roman"/>
                <w:b/>
                <w:bCs/>
                <w:kern w:val="0"/>
                <w:sz w:val="21"/>
                <w:szCs w:val="21"/>
                <w:lang w:val="en-US" w:eastAsia="zh-CN"/>
              </w:rPr>
              <w:t>11323.98</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lang w:val="en-US" w:eastAsia="zh-CN"/>
              </w:rPr>
            </w:pPr>
            <w:r>
              <w:rPr>
                <w:rFonts w:hint="eastAsia" w:ascii="Times New Roman" w:hAnsi="Times New Roman" w:cs="Times New Roman"/>
                <w:b/>
                <w:bCs/>
                <w:kern w:val="0"/>
                <w:sz w:val="21"/>
                <w:szCs w:val="21"/>
                <w:lang w:val="en-US" w:eastAsia="zh-CN"/>
              </w:rPr>
              <w:t>11323.98</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val="en-US" w:eastAsia="zh-CN" w:bidi="ar-SA"/>
              </w:rPr>
            </w:pPr>
            <w:r>
              <w:rPr>
                <w:rFonts w:hint="eastAsia" w:ascii="Times New Roman" w:hAnsi="Times New Roman" w:cs="Times New Roman"/>
                <w:b/>
                <w:bCs/>
                <w:kern w:val="0"/>
                <w:sz w:val="21"/>
                <w:szCs w:val="21"/>
                <w:lang w:eastAsia="zh-CN"/>
              </w:rPr>
              <w:t>基本支出</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1"/>
                <w:szCs w:val="21"/>
                <w:lang w:val="en-US" w:eastAsia="zh-CN"/>
              </w:rPr>
            </w:pPr>
            <w:r>
              <w:rPr>
                <w:rFonts w:hint="eastAsia" w:ascii="Times New Roman" w:hAnsi="Times New Roman" w:cs="Times New Roman"/>
                <w:b/>
                <w:bCs/>
                <w:kern w:val="0"/>
                <w:sz w:val="21"/>
                <w:szCs w:val="21"/>
                <w:lang w:val="en-US" w:eastAsia="zh-CN"/>
              </w:rPr>
              <w:t>8122.47</w:t>
            </w: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r>
              <w:rPr>
                <w:rFonts w:hint="eastAsia" w:ascii="Times New Roman" w:hAnsi="Times New Roman" w:cs="Times New Roman"/>
                <w:b/>
                <w:bCs/>
                <w:kern w:val="0"/>
                <w:sz w:val="21"/>
                <w:szCs w:val="21"/>
                <w:lang w:val="en-US" w:eastAsia="zh-CN"/>
              </w:rPr>
              <w:t>6963.20</w:t>
            </w:r>
            <w:r>
              <w:rPr>
                <w:rFonts w:hint="eastAsia" w:ascii="Times New Roman" w:hAnsi="Times New Roman" w:cs="Times New Roman"/>
                <w:kern w:val="0"/>
                <w:sz w:val="21"/>
                <w:szCs w:val="21"/>
                <w:lang w:val="en-US" w:eastAsia="zh-CN"/>
              </w:rPr>
              <w:t>　</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hint="eastAsia" w:ascii="Times New Roman" w:hAnsi="Times New Roman" w:cs="Times New Roman"/>
                <w:b/>
                <w:bCs/>
                <w:kern w:val="0"/>
                <w:sz w:val="21"/>
                <w:szCs w:val="21"/>
                <w:lang w:val="en-US" w:eastAsia="zh-CN"/>
              </w:rPr>
              <w:t>6963.20</w:t>
            </w:r>
            <w:r>
              <w:rPr>
                <w:rFonts w:hint="eastAsia" w:ascii="Times New Roman" w:hAnsi="Times New Roman" w:cs="Times New Roman"/>
                <w:kern w:val="0"/>
                <w:sz w:val="21"/>
                <w:szCs w:val="21"/>
                <w:lang w:val="en-US" w:eastAsia="zh-CN"/>
              </w:rPr>
              <w:t>　</w:t>
            </w:r>
            <w:r>
              <w:rPr>
                <w:rFonts w:ascii="Times New Roman" w:hAnsi="Times New Roman" w:eastAsia="仿宋_GB2312" w:cs="Times New Roman"/>
                <w:b/>
                <w:bCs/>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其中：</w:t>
            </w:r>
            <w:r>
              <w:rPr>
                <w:rFonts w:hint="eastAsia" w:ascii="Times New Roman" w:hAnsi="Times New Roman" w:cs="Times New Roman"/>
                <w:kern w:val="0"/>
                <w:sz w:val="21"/>
                <w:szCs w:val="21"/>
                <w:lang w:eastAsia="zh-CN"/>
              </w:rPr>
              <w:t>公用</w:t>
            </w:r>
            <w:r>
              <w:rPr>
                <w:rFonts w:ascii="Times New Roman" w:hAnsi="Times New Roman" w:eastAsia="仿宋_GB2312" w:cs="Times New Roman"/>
                <w:kern w:val="0"/>
                <w:sz w:val="21"/>
                <w:szCs w:val="21"/>
              </w:rPr>
              <w:t>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3227.62</w:t>
            </w: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621.18</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kern w:val="0"/>
                <w:sz w:val="21"/>
                <w:szCs w:val="21"/>
                <w:lang w:val="en-US" w:eastAsia="zh-CN"/>
              </w:rPr>
            </w:pPr>
            <w:r>
              <w:rPr>
                <w:rFonts w:hint="eastAsia" w:ascii="Times New Roman" w:hAnsi="Times New Roman" w:cs="Times New Roman"/>
                <w:kern w:val="0"/>
                <w:sz w:val="21"/>
                <w:szCs w:val="21"/>
                <w:lang w:val="en-US" w:eastAsia="zh-CN"/>
              </w:rPr>
              <w:t>621.18</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b/>
                <w:bCs/>
                <w:kern w:val="0"/>
                <w:sz w:val="21"/>
                <w:szCs w:val="21"/>
              </w:rPr>
              <w:t>项目支出</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1"/>
                <w:szCs w:val="21"/>
                <w:lang w:val="en-US" w:eastAsia="zh-CN"/>
              </w:rPr>
            </w:pPr>
            <w:r>
              <w:rPr>
                <w:rFonts w:hint="eastAsia" w:ascii="Times New Roman" w:hAnsi="Times New Roman" w:cs="Times New Roman"/>
                <w:b/>
                <w:bCs/>
                <w:kern w:val="0"/>
                <w:sz w:val="21"/>
                <w:szCs w:val="21"/>
                <w:lang w:val="en-US" w:eastAsia="zh-CN"/>
              </w:rPr>
              <w:t>2611</w:t>
            </w: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1"/>
                <w:szCs w:val="21"/>
                <w:lang w:val="en-US" w:eastAsia="zh-CN"/>
              </w:rPr>
            </w:pPr>
            <w:r>
              <w:rPr>
                <w:rFonts w:hint="eastAsia" w:ascii="Times New Roman" w:hAnsi="Times New Roman" w:cs="Times New Roman"/>
                <w:b/>
                <w:bCs/>
                <w:kern w:val="0"/>
                <w:sz w:val="21"/>
                <w:szCs w:val="21"/>
                <w:lang w:val="en-US" w:eastAsia="zh-CN"/>
              </w:rPr>
              <w:t>4360.78</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lang w:val="en-US" w:eastAsia="zh-CN"/>
              </w:rPr>
            </w:pPr>
            <w:r>
              <w:rPr>
                <w:rFonts w:hint="eastAsia" w:ascii="Times New Roman" w:hAnsi="Times New Roman" w:cs="Times New Roman"/>
                <w:b/>
                <w:bCs/>
                <w:kern w:val="0"/>
                <w:sz w:val="21"/>
                <w:szCs w:val="21"/>
                <w:lang w:val="en-US" w:eastAsia="zh-CN"/>
              </w:rPr>
              <w:t>4360.78</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b/>
                <w:bCs/>
                <w:kern w:val="0"/>
                <w:sz w:val="21"/>
                <w:szCs w:val="21"/>
                <w:lang w:val="en-US" w:eastAsia="zh-CN"/>
              </w:rPr>
            </w:pPr>
            <w:r>
              <w:rPr>
                <w:rFonts w:ascii="Times New Roman" w:hAnsi="Times New Roman" w:eastAsia="仿宋_GB2312" w:cs="Times New Roman"/>
                <w:kern w:val="0"/>
                <w:sz w:val="21"/>
                <w:szCs w:val="21"/>
              </w:rPr>
              <w:t xml:space="preserve"> </w:t>
            </w:r>
            <w:r>
              <w:rPr>
                <w:rFonts w:hint="eastAsia" w:ascii="Times New Roman" w:hAnsi="Times New Roman" w:cs="Times New Roman"/>
                <w:kern w:val="0"/>
                <w:sz w:val="21"/>
                <w:szCs w:val="21"/>
                <w:lang w:val="en-US" w:eastAsia="zh-CN"/>
              </w:rPr>
              <w:t xml:space="preserve">   </w:t>
            </w:r>
            <w:r>
              <w:rPr>
                <w:rFonts w:hint="eastAsia" w:ascii="Times New Roman" w:hAnsi="Times New Roman" w:cs="Times New Roman"/>
                <w:kern w:val="0"/>
                <w:sz w:val="21"/>
                <w:szCs w:val="21"/>
                <w:lang w:eastAsia="zh-CN"/>
              </w:rPr>
              <w:t>其中：</w:t>
            </w:r>
            <w:r>
              <w:rPr>
                <w:rFonts w:hint="eastAsia" w:ascii="Times New Roman" w:hAnsi="Times New Roman" w:cs="Times New Roman"/>
                <w:kern w:val="0"/>
                <w:sz w:val="21"/>
                <w:szCs w:val="21"/>
                <w:lang w:val="en-US" w:eastAsia="zh-CN"/>
              </w:rPr>
              <w:t>1、运行维护经费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1"/>
                <w:szCs w:val="21"/>
                <w:lang w:val="en-US" w:eastAsia="zh-CN"/>
              </w:rPr>
            </w:pPr>
            <w:r>
              <w:rPr>
                <w:rFonts w:ascii="Times New Roman" w:hAnsi="Times New Roman" w:eastAsia="仿宋_GB2312" w:cs="Times New Roman"/>
                <w:kern w:val="0"/>
                <w:sz w:val="21"/>
                <w:szCs w:val="21"/>
              </w:rPr>
              <w:t>——</w:t>
            </w: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2461.28</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2461.28</w:t>
            </w:r>
          </w:p>
        </w:tc>
      </w:tr>
      <w:tr>
        <w:tblPrEx>
          <w:tblCellMar>
            <w:top w:w="0" w:type="dxa"/>
            <w:left w:w="108" w:type="dxa"/>
            <w:bottom w:w="0" w:type="dxa"/>
            <w:right w:w="108" w:type="dxa"/>
          </w:tblCellMar>
        </w:tblPrEx>
        <w:trPr>
          <w:trHeight w:val="58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xml:space="preserve">  </w:t>
            </w:r>
            <w:r>
              <w:rPr>
                <w:rFonts w:hint="eastAsia" w:ascii="Times New Roman" w:hAnsi="Times New Roman" w:cs="Times New Roman"/>
                <w:kern w:val="0"/>
                <w:sz w:val="21"/>
                <w:szCs w:val="21"/>
                <w:lang w:val="en-US" w:eastAsia="zh-CN"/>
              </w:rPr>
              <w:t xml:space="preserve">        2、</w:t>
            </w:r>
            <w:r>
              <w:rPr>
                <w:rFonts w:ascii="Times New Roman" w:hAnsi="Times New Roman" w:eastAsia="仿宋_GB2312" w:cs="Times New Roman"/>
                <w:kern w:val="0"/>
                <w:sz w:val="21"/>
                <w:szCs w:val="21"/>
              </w:rPr>
              <w:t>专项资金</w:t>
            </w:r>
          </w:p>
          <w:p>
            <w:pPr>
              <w:keepNext w:val="0"/>
              <w:keepLines w:val="0"/>
              <w:pageBreakBefore w:val="0"/>
              <w:widowControl/>
              <w:kinsoku/>
              <w:wordWrap/>
              <w:overflowPunct/>
              <w:topLinePunct w:val="0"/>
              <w:autoSpaceDE/>
              <w:autoSpaceDN/>
              <w:bidi w:val="0"/>
              <w:adjustRightInd/>
              <w:snapToGrid/>
              <w:spacing w:line="220" w:lineRule="exact"/>
              <w:ind w:firstLine="840" w:firstLineChars="400"/>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（一个项</w:t>
            </w:r>
            <w:r>
              <w:rPr>
                <w:rFonts w:hint="eastAsia" w:ascii="Times New Roman" w:hAnsi="Times New Roman" w:cs="Times New Roman"/>
                <w:kern w:val="0"/>
                <w:sz w:val="21"/>
                <w:szCs w:val="21"/>
                <w:lang w:eastAsia="zh-CN"/>
              </w:rPr>
              <w:t>目</w:t>
            </w:r>
            <w:r>
              <w:rPr>
                <w:rFonts w:ascii="Times New Roman" w:hAnsi="Times New Roman" w:eastAsia="仿宋_GB2312" w:cs="Times New Roman"/>
                <w:kern w:val="0"/>
                <w:sz w:val="21"/>
                <w:szCs w:val="21"/>
              </w:rPr>
              <w:t xml:space="preserve">一行） </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　</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w:t>
            </w:r>
            <w:r>
              <w:rPr>
                <w:rFonts w:hint="eastAsia" w:ascii="Times New Roman" w:hAnsi="Times New Roman" w:cs="Times New Roman"/>
                <w:kern w:val="0"/>
                <w:sz w:val="21"/>
                <w:szCs w:val="21"/>
                <w:lang w:val="en-US" w:eastAsia="zh-CN"/>
              </w:rPr>
              <w:t xml:space="preserve">      </w:t>
            </w:r>
            <w:r>
              <w:rPr>
                <w:rFonts w:ascii="Times New Roman" w:hAnsi="Times New Roman" w:eastAsia="仿宋_GB2312" w:cs="Times New Roman"/>
                <w:kern w:val="0"/>
                <w:sz w:val="21"/>
                <w:szCs w:val="21"/>
              </w:rPr>
              <w:t>……</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　</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1050" w:firstLineChars="500"/>
              <w:jc w:val="both"/>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　</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b/>
                <w:bCs/>
                <w:kern w:val="0"/>
                <w:sz w:val="21"/>
                <w:szCs w:val="21"/>
              </w:rPr>
              <w:t>三公经费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　</w:t>
            </w: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　</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1、公务用车购置和维护经费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r>
              <w:rPr>
                <w:rFonts w:ascii="Times New Roman" w:hAnsi="Times New Roman" w:eastAsia="仿宋_GB2312" w:cs="Times New Roman"/>
                <w:kern w:val="0"/>
                <w:sz w:val="21"/>
                <w:szCs w:val="21"/>
              </w:rPr>
              <w:t>——</w:t>
            </w: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1"/>
                <w:szCs w:val="21"/>
                <w:lang w:val="en-US" w:eastAsia="zh-CN"/>
              </w:rPr>
            </w:pPr>
            <w:r>
              <w:rPr>
                <w:rFonts w:ascii="Times New Roman" w:hAnsi="Times New Roman" w:eastAsia="仿宋_GB2312" w:cs="Times New Roman"/>
                <w:kern w:val="0"/>
                <w:sz w:val="21"/>
                <w:szCs w:val="21"/>
              </w:rPr>
              <w:t>——</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其中：公车购置</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　</w:t>
            </w: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　</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公车运行维护</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2、出国经费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r>
              <w:rPr>
                <w:rFonts w:ascii="Times New Roman" w:hAnsi="Times New Roman" w:eastAsia="仿宋_GB2312" w:cs="Times New Roman"/>
                <w:kern w:val="0"/>
                <w:sz w:val="21"/>
                <w:szCs w:val="21"/>
              </w:rPr>
              <w:t>——</w:t>
            </w: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1"/>
                <w:szCs w:val="21"/>
                <w:lang w:val="en-US" w:eastAsia="zh-CN"/>
              </w:rPr>
            </w:pPr>
            <w:r>
              <w:rPr>
                <w:rFonts w:ascii="Times New Roman" w:hAnsi="Times New Roman" w:eastAsia="仿宋_GB2312" w:cs="Times New Roman"/>
                <w:kern w:val="0"/>
                <w:sz w:val="21"/>
                <w:szCs w:val="21"/>
              </w:rPr>
              <w:t>——</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3、公务接待</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18　</w:t>
            </w: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17</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13.21</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b/>
                <w:bCs/>
                <w:kern w:val="0"/>
                <w:sz w:val="21"/>
                <w:szCs w:val="21"/>
              </w:rPr>
              <w:t>政府采购金额</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3396.01</w:t>
            </w:r>
          </w:p>
        </w:tc>
        <w:tc>
          <w:tcPr>
            <w:tcW w:w="243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1031.87</w:t>
            </w:r>
          </w:p>
        </w:tc>
        <w:tc>
          <w:tcPr>
            <w:tcW w:w="17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ascii="Times New Roman" w:hAnsi="Times New Roman" w:cs="Times New Roman"/>
                <w:kern w:val="0"/>
                <w:sz w:val="21"/>
                <w:szCs w:val="21"/>
                <w:lang w:val="en-US" w:eastAsia="zh-CN"/>
              </w:rPr>
              <w:t>1031.87</w:t>
            </w: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630" w:hRule="atLeast"/>
          <w:jc w:val="center"/>
        </w:trPr>
        <w:tc>
          <w:tcPr>
            <w:tcW w:w="321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楼堂馆所控制情况</w:t>
            </w:r>
            <w:r>
              <w:rPr>
                <w:rFonts w:ascii="Times New Roman" w:hAnsi="Times New Roman" w:eastAsia="仿宋_GB2312" w:cs="Times New Roman"/>
                <w:kern w:val="0"/>
                <w:sz w:val="21"/>
                <w:szCs w:val="21"/>
              </w:rPr>
              <w:br w:type="textWrapping"/>
            </w:r>
            <w:r>
              <w:rPr>
                <w:rFonts w:ascii="Times New Roman" w:hAnsi="Times New Roman" w:eastAsia="仿宋_GB2312" w:cs="Times New Roman"/>
                <w:kern w:val="0"/>
                <w:sz w:val="21"/>
                <w:szCs w:val="21"/>
              </w:rPr>
              <w:t>（202</w:t>
            </w:r>
            <w:r>
              <w:rPr>
                <w:rFonts w:hint="eastAsia" w:ascii="Times New Roman" w:hAnsi="Times New Roman" w:cs="Times New Roman"/>
                <w:kern w:val="0"/>
                <w:sz w:val="21"/>
                <w:szCs w:val="21"/>
                <w:lang w:val="en-US" w:eastAsia="zh-CN"/>
              </w:rPr>
              <w:t>1</w:t>
            </w:r>
            <w:r>
              <w:rPr>
                <w:rFonts w:ascii="Times New Roman" w:hAnsi="Times New Roman" w:eastAsia="仿宋_GB2312" w:cs="Times New Roman"/>
                <w:kern w:val="0"/>
                <w:sz w:val="21"/>
                <w:szCs w:val="21"/>
              </w:rPr>
              <w:t>年完工项目）</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批复规模</w:t>
            </w:r>
            <w:r>
              <w:rPr>
                <w:rFonts w:ascii="Times New Roman" w:hAnsi="Times New Roman" w:eastAsia="仿宋_GB2312" w:cs="Times New Roman"/>
                <w:kern w:val="0"/>
                <w:sz w:val="21"/>
                <w:szCs w:val="21"/>
              </w:rPr>
              <w:br w:type="textWrapping"/>
            </w:r>
            <w:r>
              <w:rPr>
                <w:rFonts w:ascii="Times New Roman" w:hAnsi="Times New Roman" w:eastAsia="仿宋_GB2312" w:cs="Times New Roman"/>
                <w:kern w:val="0"/>
                <w:sz w:val="21"/>
                <w:szCs w:val="21"/>
              </w:rPr>
              <w:t>（㎡）</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实际规模（㎡）</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规模控制率</w:t>
            </w: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预算投资（万元）</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实际投资（万元）</w:t>
            </w:r>
          </w:p>
        </w:tc>
        <w:tc>
          <w:tcPr>
            <w:tcW w:w="9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投资概算控制率</w:t>
            </w:r>
          </w:p>
        </w:tc>
      </w:tr>
      <w:tr>
        <w:tblPrEx>
          <w:tblCellMar>
            <w:top w:w="0" w:type="dxa"/>
            <w:left w:w="108" w:type="dxa"/>
            <w:bottom w:w="0" w:type="dxa"/>
            <w:right w:w="108" w:type="dxa"/>
          </w:tblCellMar>
        </w:tblPrEx>
        <w:trPr>
          <w:trHeight w:val="454" w:hRule="atLeast"/>
          <w:jc w:val="center"/>
        </w:trPr>
        <w:tc>
          <w:tcPr>
            <w:tcW w:w="321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9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1026"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厉行节约保障措施</w:t>
            </w:r>
          </w:p>
        </w:tc>
        <w:tc>
          <w:tcPr>
            <w:tcW w:w="6481"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bl>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kern w:val="0"/>
          <w:sz w:val="22"/>
          <w:szCs w:val="24"/>
          <w:lang w:eastAsia="zh-CN"/>
        </w:rPr>
      </w:pPr>
      <w:r>
        <w:rPr>
          <w:rFonts w:eastAsia="仿宋_GB2312"/>
          <w:kern w:val="0"/>
          <w:sz w:val="22"/>
          <w:szCs w:val="24"/>
        </w:rPr>
        <w:t>说明：“公用经费”填报基本支出中的一般商品和服务支出。“项目支出”需要填报基本支出以外的所有项目支出情况，</w:t>
      </w:r>
      <w:r>
        <w:rPr>
          <w:rFonts w:hint="eastAsia"/>
          <w:kern w:val="0"/>
          <w:sz w:val="22"/>
          <w:szCs w:val="24"/>
          <w:lang w:eastAsia="zh-CN"/>
        </w:rPr>
        <w:t>“运行维护经费”填报项目支出中用于人员类和公用运转类的支出。</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黑体" w:cs="Times New Roman"/>
          <w:sz w:val="32"/>
          <w:szCs w:val="32"/>
          <w:lang w:val="en-US" w:eastAsia="zh-CN"/>
        </w:rPr>
      </w:pPr>
      <w:r>
        <w:rPr>
          <w:rFonts w:eastAsia="仿宋_GB2312"/>
          <w:kern w:val="0"/>
          <w:sz w:val="22"/>
          <w:szCs w:val="24"/>
        </w:rPr>
        <w:t>填表人</w:t>
      </w:r>
      <w:r>
        <w:rPr>
          <w:rFonts w:hint="eastAsia"/>
          <w:kern w:val="0"/>
          <w:sz w:val="22"/>
          <w:szCs w:val="24"/>
          <w:lang w:val="en-US" w:eastAsia="zh-CN"/>
        </w:rPr>
        <w:t>:黄子倩</w:t>
      </w:r>
      <w:r>
        <w:rPr>
          <w:rFonts w:eastAsia="仿宋_GB2312"/>
          <w:kern w:val="0"/>
          <w:sz w:val="22"/>
          <w:szCs w:val="24"/>
        </w:rPr>
        <w:t xml:space="preserve"> 填报日期</w:t>
      </w:r>
      <w:r>
        <w:rPr>
          <w:rFonts w:hint="eastAsia"/>
          <w:kern w:val="0"/>
          <w:sz w:val="22"/>
          <w:szCs w:val="24"/>
          <w:lang w:val="en-US" w:eastAsia="zh-CN"/>
        </w:rPr>
        <w:t>:</w:t>
      </w:r>
      <w:r>
        <w:rPr>
          <w:rFonts w:hint="default" w:ascii="Times New Roman" w:hAnsi="Times New Roman" w:cs="Times New Roman"/>
          <w:kern w:val="0"/>
          <w:sz w:val="22"/>
          <w:szCs w:val="24"/>
          <w:lang w:val="en-US" w:eastAsia="zh-CN"/>
        </w:rPr>
        <w:t>2022.04.04</w:t>
      </w:r>
      <w:r>
        <w:rPr>
          <w:rFonts w:eastAsia="仿宋_GB2312"/>
          <w:kern w:val="0"/>
          <w:sz w:val="22"/>
          <w:szCs w:val="24"/>
        </w:rPr>
        <w:t xml:space="preserve"> 联系电话</w:t>
      </w:r>
      <w:r>
        <w:rPr>
          <w:rFonts w:hint="eastAsia"/>
          <w:kern w:val="0"/>
          <w:sz w:val="22"/>
          <w:szCs w:val="24"/>
          <w:lang w:val="en-US" w:eastAsia="zh-CN"/>
        </w:rPr>
        <w:t>:</w:t>
      </w:r>
      <w:r>
        <w:rPr>
          <w:rFonts w:hint="default" w:ascii="Times New Roman" w:hAnsi="Times New Roman" w:cs="Times New Roman"/>
          <w:kern w:val="0"/>
          <w:sz w:val="22"/>
          <w:szCs w:val="24"/>
          <w:lang w:val="en-US" w:eastAsia="zh-CN"/>
        </w:rPr>
        <w:t>18773771885</w:t>
      </w:r>
      <w:r>
        <w:rPr>
          <w:rFonts w:hint="eastAsia"/>
          <w:kern w:val="0"/>
          <w:sz w:val="22"/>
          <w:szCs w:val="24"/>
          <w:lang w:val="en-US" w:eastAsia="zh-CN"/>
        </w:rPr>
        <w:t xml:space="preserve"> </w:t>
      </w:r>
      <w:r>
        <w:rPr>
          <w:rFonts w:eastAsia="仿宋_GB2312"/>
          <w:kern w:val="0"/>
          <w:sz w:val="22"/>
          <w:szCs w:val="24"/>
        </w:rPr>
        <w:t>单位负责人签字</w:t>
      </w:r>
      <w:r>
        <w:rPr>
          <w:rFonts w:hint="eastAsia"/>
          <w:kern w:val="0"/>
          <w:sz w:val="22"/>
          <w:szCs w:val="24"/>
          <w:lang w:val="en-US" w:eastAsia="zh-CN"/>
        </w:rPr>
        <w:t>:</w:t>
      </w:r>
      <w:r>
        <w:rPr>
          <w:rFonts w:hint="eastAsia"/>
          <w:kern w:val="0"/>
          <w:sz w:val="22"/>
          <w:szCs w:val="24"/>
          <w:lang w:eastAsia="zh-CN"/>
        </w:rPr>
        <w:t>周志宏</w:t>
      </w:r>
      <w:r>
        <w:rPr>
          <w:rFonts w:eastAsia="仿宋_GB2312"/>
          <w:kern w:val="0"/>
          <w:sz w:val="22"/>
          <w:szCs w:val="24"/>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lang w:val="en-US" w:eastAsia="zh-CN"/>
        </w:rPr>
        <w:t>1</w:t>
      </w:r>
      <w:r>
        <w:rPr>
          <w:rFonts w:ascii="Times New Roman" w:hAnsi="Times New Roman" w:eastAsia="方正小标宋_GBK" w:cs="Times New Roman"/>
          <w:color w:val="000000"/>
          <w:kern w:val="0"/>
          <w:sz w:val="36"/>
          <w:szCs w:val="36"/>
        </w:rPr>
        <w:t>年度部门整体支出绩效自评表</w:t>
      </w:r>
    </w:p>
    <w:tbl>
      <w:tblPr>
        <w:tblStyle w:val="3"/>
        <w:tblW w:w="10090" w:type="dxa"/>
        <w:jc w:val="center"/>
        <w:tblLayout w:type="autofit"/>
        <w:tblCellMar>
          <w:top w:w="0" w:type="dxa"/>
          <w:left w:w="108" w:type="dxa"/>
          <w:bottom w:w="0" w:type="dxa"/>
          <w:right w:w="108" w:type="dxa"/>
        </w:tblCellMar>
      </w:tblPr>
      <w:tblGrid>
        <w:gridCol w:w="1080"/>
        <w:gridCol w:w="1080"/>
        <w:gridCol w:w="1135"/>
        <w:gridCol w:w="1074"/>
        <w:gridCol w:w="981"/>
        <w:gridCol w:w="885"/>
        <w:gridCol w:w="1065"/>
        <w:gridCol w:w="795"/>
        <w:gridCol w:w="915"/>
        <w:gridCol w:w="1080"/>
      </w:tblGrid>
      <w:tr>
        <w:tblPrEx>
          <w:tblCellMar>
            <w:top w:w="0" w:type="dxa"/>
            <w:left w:w="108" w:type="dxa"/>
            <w:bottom w:w="0" w:type="dxa"/>
            <w:right w:w="108" w:type="dxa"/>
          </w:tblCellMar>
        </w:tblPrEx>
        <w:trPr>
          <w:trHeight w:val="32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预算部门</w:t>
            </w:r>
          </w:p>
        </w:tc>
        <w:tc>
          <w:tcPr>
            <w:tcW w:w="9010" w:type="dxa"/>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益阳医学高等专科学校</w:t>
            </w: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算申请</w:t>
            </w:r>
            <w:r>
              <w:rPr>
                <w:rFonts w:ascii="Times New Roman" w:hAnsi="Times New Roman" w:eastAsia="仿宋_GB2312" w:cs="Times New Roman"/>
                <w:color w:val="000000"/>
                <w:kern w:val="0"/>
                <w:sz w:val="21"/>
                <w:szCs w:val="21"/>
              </w:rPr>
              <w:br w:type="textWrapping"/>
            </w:r>
            <w:r>
              <w:rPr>
                <w:rFonts w:ascii="Times New Roman" w:hAnsi="Times New Roman" w:eastAsia="仿宋_GB2312" w:cs="Times New Roman"/>
                <w:color w:val="000000"/>
                <w:kern w:val="0"/>
                <w:sz w:val="21"/>
                <w:szCs w:val="21"/>
              </w:rPr>
              <w:t>（万元）</w:t>
            </w:r>
          </w:p>
        </w:tc>
        <w:tc>
          <w:tcPr>
            <w:tcW w:w="22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p>
        </w:tc>
        <w:tc>
          <w:tcPr>
            <w:tcW w:w="10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预算数</w:t>
            </w:r>
          </w:p>
        </w:tc>
        <w:tc>
          <w:tcPr>
            <w:tcW w:w="18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全年预算数</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全年执行数</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22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color w:val="000000"/>
                <w:kern w:val="0"/>
                <w:sz w:val="21"/>
                <w:szCs w:val="21"/>
              </w:rPr>
              <w:t>年度资金总额</w:t>
            </w:r>
          </w:p>
        </w:tc>
        <w:tc>
          <w:tcPr>
            <w:tcW w:w="10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ascii="Times New Roman" w:hAnsi="Times New Roman" w:cs="Times New Roman"/>
                <w:sz w:val="21"/>
                <w:szCs w:val="21"/>
                <w:lang w:val="en-US" w:eastAsia="zh-CN"/>
              </w:rPr>
              <w:t>3709.51</w:t>
            </w:r>
          </w:p>
        </w:tc>
        <w:tc>
          <w:tcPr>
            <w:tcW w:w="18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ascii="Times New Roman" w:hAnsi="Times New Roman" w:cs="Times New Roman"/>
                <w:sz w:val="21"/>
                <w:szCs w:val="21"/>
                <w:lang w:val="en-US" w:eastAsia="zh-CN"/>
              </w:rPr>
              <w:t>11519.83</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ascii="Times New Roman" w:hAnsi="Times New Roman" w:cs="Times New Roman"/>
                <w:sz w:val="21"/>
                <w:szCs w:val="21"/>
                <w:lang w:val="en-US" w:eastAsia="zh-CN"/>
              </w:rPr>
              <w:t>11519.83</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1"/>
                <w:szCs w:val="21"/>
                <w:lang w:eastAsia="zh-CN"/>
              </w:rPr>
            </w:pPr>
            <w:r>
              <w:rPr>
                <w:rFonts w:ascii="Times New Roman" w:hAnsi="Times New Roman" w:eastAsia="仿宋_GB2312" w:cs="Times New Roman"/>
                <w:sz w:val="21"/>
                <w:szCs w:val="21"/>
              </w:rPr>
              <w:t>10</w:t>
            </w:r>
            <w:r>
              <w:rPr>
                <w:rFonts w:hint="eastAsia" w:ascii="Times New Roman" w:hAnsi="Times New Roman" w:cs="Times New Roman"/>
                <w:sz w:val="21"/>
                <w:szCs w:val="21"/>
                <w:lang w:eastAsia="zh-CN"/>
              </w:rPr>
              <w:t>分</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ascii="Times New Roman" w:hAnsi="Times New Roman" w:cs="Times New Roman"/>
                <w:sz w:val="21"/>
                <w:szCs w:val="21"/>
                <w:lang w:val="en-US" w:eastAsia="zh-CN"/>
              </w:rPr>
              <w:t>100%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ascii="Times New Roman" w:hAnsi="Times New Roman" w:cs="Times New Roman"/>
                <w:sz w:val="21"/>
                <w:szCs w:val="21"/>
                <w:lang w:val="en-US" w:eastAsia="zh-CN"/>
              </w:rPr>
              <w:t>10分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5155"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按收入性质分：</w:t>
            </w:r>
          </w:p>
        </w:tc>
        <w:tc>
          <w:tcPr>
            <w:tcW w:w="38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5155"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xml:space="preserve">  其中：  一般公共预算：</w:t>
            </w:r>
            <w:r>
              <w:rPr>
                <w:rFonts w:hint="eastAsia" w:ascii="Times New Roman" w:hAnsi="Times New Roman" w:cs="Times New Roman"/>
                <w:color w:val="000000"/>
                <w:kern w:val="0"/>
                <w:sz w:val="21"/>
                <w:szCs w:val="21"/>
                <w:lang w:val="en-US" w:eastAsia="zh-CN"/>
              </w:rPr>
              <w:t>11323.98</w:t>
            </w:r>
          </w:p>
        </w:tc>
        <w:tc>
          <w:tcPr>
            <w:tcW w:w="38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其中：基本支出：</w:t>
            </w:r>
            <w:r>
              <w:rPr>
                <w:rFonts w:hint="eastAsia" w:ascii="Times New Roman" w:hAnsi="Times New Roman" w:cs="Times New Roman"/>
                <w:color w:val="000000"/>
                <w:kern w:val="0"/>
                <w:sz w:val="21"/>
                <w:szCs w:val="21"/>
                <w:lang w:val="en-US" w:eastAsia="zh-CN"/>
              </w:rPr>
              <w:t>6963.20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5155"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840" w:firstLineChars="400"/>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政府性基金拨款：</w:t>
            </w:r>
            <w:r>
              <w:rPr>
                <w:rFonts w:hint="eastAsia" w:ascii="Times New Roman" w:hAnsi="Times New Roman" w:cs="Times New Roman"/>
                <w:color w:val="000000"/>
                <w:kern w:val="0"/>
                <w:sz w:val="21"/>
                <w:szCs w:val="21"/>
                <w:lang w:val="en-US" w:eastAsia="zh-CN"/>
              </w:rPr>
              <w:t>195.85</w:t>
            </w:r>
          </w:p>
        </w:tc>
        <w:tc>
          <w:tcPr>
            <w:tcW w:w="38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30" w:firstLineChars="300"/>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项目支出：</w:t>
            </w:r>
            <w:r>
              <w:rPr>
                <w:rFonts w:hint="eastAsia" w:ascii="Times New Roman" w:hAnsi="Times New Roman" w:cs="Times New Roman"/>
                <w:color w:val="000000"/>
                <w:kern w:val="0"/>
                <w:sz w:val="21"/>
                <w:szCs w:val="21"/>
                <w:lang w:val="en-US" w:eastAsia="zh-CN"/>
              </w:rPr>
              <w:t>4556.63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5155"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纳入专户管理的非税收入拨款：</w:t>
            </w:r>
          </w:p>
        </w:tc>
        <w:tc>
          <w:tcPr>
            <w:tcW w:w="38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5155"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1470" w:firstLineChars="700"/>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其他资金：</w:t>
            </w:r>
          </w:p>
        </w:tc>
        <w:tc>
          <w:tcPr>
            <w:tcW w:w="38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5155"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385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5155"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1.</w:t>
            </w:r>
            <w:r>
              <w:rPr>
                <w:rFonts w:hint="eastAsia" w:ascii="Times New Roman" w:hAnsi="Times New Roman" w:eastAsia="仿宋_GB2312" w:cs="Times New Roman"/>
                <w:color w:val="000000"/>
                <w:kern w:val="0"/>
                <w:sz w:val="21"/>
                <w:szCs w:val="21"/>
                <w:lang w:val="en-US" w:eastAsia="zh-CN"/>
              </w:rPr>
              <w:t>确保人员经费的合理分配。 </w:t>
            </w:r>
            <w:r>
              <w:rPr>
                <w:rFonts w:hint="default" w:ascii="Times New Roman" w:hAnsi="Times New Roman" w:eastAsia="仿宋_GB2312" w:cs="Times New Roman"/>
                <w:color w:val="000000"/>
                <w:kern w:val="0"/>
                <w:sz w:val="21"/>
                <w:szCs w:val="21"/>
                <w:lang w:val="en-US" w:eastAsia="zh-CN"/>
              </w:rPr>
              <w:t>合理安排三公经费和日常运行办公经费的开支。按上级要求，</w:t>
            </w:r>
            <w:r>
              <w:rPr>
                <w:rFonts w:hint="eastAsia" w:ascii="Times New Roman" w:hAnsi="Times New Roman" w:eastAsia="仿宋_GB2312" w:cs="Times New Roman"/>
                <w:color w:val="000000"/>
                <w:kern w:val="0"/>
                <w:sz w:val="21"/>
                <w:szCs w:val="21"/>
                <w:lang w:val="en-US" w:eastAsia="zh-CN"/>
              </w:rPr>
              <w:t>厉行</w:t>
            </w:r>
            <w:r>
              <w:rPr>
                <w:rFonts w:hint="default" w:ascii="Times New Roman" w:hAnsi="Times New Roman" w:eastAsia="仿宋_GB2312" w:cs="Times New Roman"/>
                <w:color w:val="000000"/>
                <w:kern w:val="0"/>
                <w:sz w:val="21"/>
                <w:szCs w:val="21"/>
                <w:lang w:val="en-US" w:eastAsia="zh-CN"/>
              </w:rPr>
              <w:t>节约，继续严格控制“三公经费”</w:t>
            </w:r>
            <w:r>
              <w:rPr>
                <w:rFonts w:hint="eastAsia" w:ascii="Times New Roman" w:hAnsi="Times New Roman" w:cs="Times New Roman"/>
                <w:color w:val="000000"/>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2.</w:t>
            </w:r>
            <w:r>
              <w:rPr>
                <w:rFonts w:hint="eastAsia" w:ascii="Times New Roman" w:hAnsi="Times New Roman" w:eastAsia="仿宋_GB2312" w:cs="Times New Roman"/>
                <w:color w:val="000000"/>
                <w:kern w:val="0"/>
                <w:sz w:val="21"/>
                <w:szCs w:val="21"/>
                <w:lang w:eastAsia="zh-CN"/>
              </w:rPr>
              <w:t>加大教师培训力度，</w:t>
            </w:r>
            <w:r>
              <w:rPr>
                <w:rFonts w:hint="eastAsia" w:ascii="Times New Roman" w:hAnsi="Times New Roman" w:eastAsia="仿宋_GB2312" w:cs="Times New Roman"/>
                <w:color w:val="000000"/>
                <w:kern w:val="0"/>
                <w:sz w:val="21"/>
                <w:szCs w:val="21"/>
              </w:rPr>
              <w:t>教学质量、人才培养水平逐年提高</w:t>
            </w:r>
            <w:r>
              <w:rPr>
                <w:rFonts w:hint="eastAsia" w:ascii="Times New Roman" w:hAnsi="Times New Roman" w:eastAsia="仿宋_GB2312" w:cs="Times New Roman"/>
                <w:color w:val="000000"/>
                <w:kern w:val="0"/>
                <w:sz w:val="21"/>
                <w:szCs w:val="21"/>
                <w:lang w:eastAsia="zh-CN"/>
              </w:rPr>
              <w:t>。完成新生招生规模</w:t>
            </w:r>
            <w:r>
              <w:rPr>
                <w:rFonts w:hint="eastAsia" w:ascii="Times New Roman" w:hAnsi="Times New Roman" w:eastAsia="仿宋_GB2312" w:cs="Times New Roman"/>
                <w:color w:val="000000"/>
                <w:kern w:val="0"/>
                <w:sz w:val="21"/>
                <w:szCs w:val="21"/>
                <w:lang w:val="en-US" w:eastAsia="zh-CN"/>
              </w:rPr>
              <w:t>3000人以上，</w:t>
            </w:r>
            <w:r>
              <w:rPr>
                <w:rFonts w:hint="eastAsia" w:ascii="Times New Roman" w:hAnsi="Times New Roman" w:eastAsia="仿宋_GB2312" w:cs="Times New Roman"/>
                <w:color w:val="000000"/>
                <w:kern w:val="0"/>
                <w:sz w:val="21"/>
                <w:szCs w:val="21"/>
              </w:rPr>
              <w:t>毕业生就业率</w:t>
            </w:r>
            <w:r>
              <w:rPr>
                <w:rFonts w:hint="eastAsia" w:ascii="Times New Roman" w:hAnsi="Times New Roman" w:eastAsia="仿宋_GB2312" w:cs="Times New Roman"/>
                <w:color w:val="000000"/>
                <w:kern w:val="0"/>
                <w:sz w:val="21"/>
                <w:szCs w:val="21"/>
                <w:lang w:val="en-US" w:eastAsia="zh-CN"/>
              </w:rPr>
              <w:t>95%以上</w:t>
            </w:r>
            <w:r>
              <w:rPr>
                <w:rFonts w:hint="eastAsia" w:ascii="Times New Roman" w:hAnsi="Times New Roman" w:eastAsia="仿宋_GB2312" w:cs="Times New Roman"/>
                <w:color w:val="000000"/>
                <w:kern w:val="0"/>
                <w:sz w:val="21"/>
                <w:szCs w:val="21"/>
              </w:rPr>
              <w:t>，社会影响进一步扩大，为益阳及湘北地区的卫生事业发展做好基础工作</w:t>
            </w:r>
            <w:r>
              <w:rPr>
                <w:rFonts w:hint="eastAsia" w:ascii="Times New Roman" w:hAnsi="Times New Roman" w:cs="Times New Roman"/>
                <w:color w:val="00000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3.</w:t>
            </w:r>
            <w:r>
              <w:rPr>
                <w:rFonts w:ascii="Times New Roman" w:hAnsi="Times New Roman" w:eastAsia="仿宋_GB2312" w:cs="Times New Roman"/>
                <w:color w:val="000000"/>
                <w:kern w:val="0"/>
                <w:sz w:val="21"/>
                <w:szCs w:val="21"/>
              </w:rPr>
              <w:t>全面推进职业技能培训</w:t>
            </w:r>
            <w:r>
              <w:rPr>
                <w:rFonts w:hint="eastAsia" w:ascii="Times New Roman" w:hAnsi="Times New Roman" w:eastAsia="仿宋_GB2312" w:cs="Times New Roman"/>
                <w:color w:val="000000"/>
                <w:kern w:val="0"/>
                <w:sz w:val="21"/>
                <w:szCs w:val="21"/>
                <w:lang w:eastAsia="zh-CN"/>
              </w:rPr>
              <w:t>，深</w:t>
            </w:r>
            <w:r>
              <w:rPr>
                <w:rFonts w:ascii="Times New Roman" w:hAnsi="Times New Roman" w:eastAsia="仿宋_GB2312" w:cs="Times New Roman"/>
                <w:color w:val="000000"/>
                <w:kern w:val="0"/>
                <w:sz w:val="21"/>
                <w:szCs w:val="21"/>
              </w:rPr>
              <w:t>入推进1+X证书制度试点工作，鼓励学生积极取得多类职业技能等级证书</w:t>
            </w:r>
            <w:r>
              <w:rPr>
                <w:rFonts w:hint="eastAsia" w:ascii="Times New Roman" w:hAnsi="Times New Roman" w:eastAsia="仿宋_GB2312" w:cs="Times New Roman"/>
                <w:color w:val="000000"/>
                <w:kern w:val="0"/>
                <w:sz w:val="21"/>
                <w:szCs w:val="21"/>
                <w:lang w:val="en-US" w:eastAsia="zh-CN"/>
              </w:rPr>
              <w:t>，切实</w:t>
            </w:r>
            <w:r>
              <w:rPr>
                <w:rFonts w:ascii="Times New Roman" w:hAnsi="Times New Roman" w:eastAsia="仿宋_GB2312" w:cs="Times New Roman"/>
                <w:color w:val="000000"/>
                <w:kern w:val="0"/>
                <w:sz w:val="21"/>
                <w:szCs w:val="21"/>
              </w:rPr>
              <w:t>提升</w:t>
            </w:r>
            <w:r>
              <w:rPr>
                <w:rFonts w:hint="eastAsia" w:ascii="Times New Roman" w:hAnsi="Times New Roman" w:eastAsia="仿宋_GB2312" w:cs="Times New Roman"/>
                <w:color w:val="000000"/>
                <w:kern w:val="0"/>
                <w:sz w:val="21"/>
                <w:szCs w:val="21"/>
                <w:lang w:eastAsia="zh-CN"/>
              </w:rPr>
              <w:t>学生</w:t>
            </w:r>
            <w:r>
              <w:rPr>
                <w:rFonts w:ascii="Times New Roman" w:hAnsi="Times New Roman" w:eastAsia="仿宋_GB2312" w:cs="Times New Roman"/>
                <w:color w:val="000000"/>
                <w:kern w:val="0"/>
                <w:sz w:val="21"/>
                <w:szCs w:val="21"/>
              </w:rPr>
              <w:t>就业服务能力</w:t>
            </w:r>
            <w:r>
              <w:rPr>
                <w:rFonts w:hint="eastAsia" w:ascii="Times New Roman" w:hAnsi="Times New Roman" w:eastAsia="仿宋_GB2312" w:cs="Times New Roman"/>
                <w:color w:val="000000"/>
                <w:kern w:val="0"/>
                <w:sz w:val="21"/>
                <w:szCs w:val="21"/>
                <w:lang w:eastAsia="zh-CN"/>
              </w:rPr>
              <w:t>。</w:t>
            </w:r>
          </w:p>
        </w:tc>
        <w:tc>
          <w:tcPr>
            <w:tcW w:w="3855" w:type="dxa"/>
            <w:gridSpan w:val="4"/>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继续贯彻厉行节约，严格控制了“三公经费”；</w:t>
            </w:r>
            <w:r>
              <w:rPr>
                <w:rFonts w:hint="eastAsia" w:ascii="Times New Roman" w:hAnsi="Times New Roman" w:eastAsia="仿宋_GB2312" w:cs="Times New Roman"/>
                <w:color w:val="000000"/>
                <w:kern w:val="0"/>
                <w:sz w:val="21"/>
                <w:szCs w:val="21"/>
              </w:rPr>
              <w:t>教学质量、人才培养水平</w:t>
            </w:r>
            <w:r>
              <w:rPr>
                <w:rFonts w:hint="eastAsia" w:ascii="Times New Roman" w:hAnsi="Times New Roman" w:cs="Times New Roman"/>
                <w:color w:val="000000"/>
                <w:kern w:val="0"/>
                <w:sz w:val="21"/>
                <w:szCs w:val="21"/>
                <w:lang w:eastAsia="zh-CN"/>
              </w:rPr>
              <w:t>正</w:t>
            </w:r>
            <w:r>
              <w:rPr>
                <w:rFonts w:hint="eastAsia" w:ascii="Times New Roman" w:hAnsi="Times New Roman" w:eastAsia="仿宋_GB2312" w:cs="Times New Roman"/>
                <w:color w:val="000000"/>
                <w:kern w:val="0"/>
                <w:sz w:val="21"/>
                <w:szCs w:val="21"/>
              </w:rPr>
              <w:t>逐</w:t>
            </w:r>
            <w:r>
              <w:rPr>
                <w:rFonts w:hint="eastAsia" w:ascii="Times New Roman" w:hAnsi="Times New Roman" w:cs="Times New Roman"/>
                <w:color w:val="000000"/>
                <w:kern w:val="0"/>
                <w:sz w:val="21"/>
                <w:szCs w:val="21"/>
                <w:lang w:eastAsia="zh-CN"/>
              </w:rPr>
              <w:t>步</w:t>
            </w:r>
            <w:r>
              <w:rPr>
                <w:rFonts w:hint="eastAsia" w:ascii="Times New Roman" w:hAnsi="Times New Roman" w:eastAsia="仿宋_GB2312" w:cs="Times New Roman"/>
                <w:color w:val="000000"/>
                <w:kern w:val="0"/>
                <w:sz w:val="21"/>
                <w:szCs w:val="21"/>
              </w:rPr>
              <w:t>提高</w:t>
            </w:r>
            <w:r>
              <w:rPr>
                <w:rFonts w:hint="eastAsia" w:ascii="Times New Roman" w:hAnsi="Times New Roman" w:cs="Times New Roman"/>
                <w:color w:val="000000"/>
                <w:kern w:val="0"/>
                <w:sz w:val="21"/>
                <w:szCs w:val="21"/>
                <w:lang w:val="en-US" w:eastAsia="zh-CN"/>
              </w:rPr>
              <w:t>，招生规模达到3550人，毕业生就业率稳步提升；</w:t>
            </w:r>
            <w:r>
              <w:rPr>
                <w:rFonts w:ascii="Times New Roman" w:hAnsi="Times New Roman" w:eastAsia="仿宋_GB2312" w:cs="Times New Roman"/>
                <w:color w:val="000000"/>
                <w:kern w:val="0"/>
                <w:sz w:val="21"/>
                <w:szCs w:val="21"/>
              </w:rPr>
              <w:t>1+X证书制度试点工作</w:t>
            </w:r>
            <w:r>
              <w:rPr>
                <w:rFonts w:hint="eastAsia" w:ascii="Times New Roman" w:hAnsi="Times New Roman" w:cs="Times New Roman"/>
                <w:color w:val="000000"/>
                <w:kern w:val="0"/>
                <w:sz w:val="21"/>
                <w:szCs w:val="21"/>
                <w:lang w:eastAsia="zh-CN"/>
              </w:rPr>
              <w:t>已全面推进</w:t>
            </w:r>
            <w:r>
              <w:rPr>
                <w:rFonts w:hint="eastAsia" w:ascii="Times New Roman" w:hAnsi="Times New Roman" w:cs="Times New Roman"/>
                <w:color w:val="000000"/>
                <w:kern w:val="0"/>
                <w:sz w:val="21"/>
                <w:szCs w:val="21"/>
                <w:lang w:val="en-US" w:eastAsia="zh-CN"/>
              </w:rPr>
              <w:t>，学生职业技能证书通过率持续提高。</w:t>
            </w:r>
            <w:r>
              <w:rPr>
                <w:rFonts w:hint="eastAsia" w:ascii="Times New Roman" w:hAnsi="Times New Roman" w:eastAsia="仿宋_GB2312" w:cs="Times New Roman"/>
                <w:color w:val="000000"/>
                <w:kern w:val="0"/>
                <w:sz w:val="21"/>
                <w:szCs w:val="21"/>
                <w:lang w:eastAsia="zh-CN"/>
              </w:rPr>
              <w:t>学生</w:t>
            </w:r>
            <w:r>
              <w:rPr>
                <w:rFonts w:ascii="Times New Roman" w:hAnsi="Times New Roman" w:eastAsia="仿宋_GB2312" w:cs="Times New Roman"/>
                <w:color w:val="000000"/>
                <w:kern w:val="0"/>
                <w:sz w:val="21"/>
                <w:szCs w:val="21"/>
              </w:rPr>
              <w:t>就业服务能力</w:t>
            </w:r>
            <w:r>
              <w:rPr>
                <w:rFonts w:hint="eastAsia" w:ascii="Times New Roman" w:hAnsi="Times New Roman" w:cs="Times New Roman"/>
                <w:color w:val="000000"/>
                <w:kern w:val="0"/>
                <w:sz w:val="21"/>
                <w:szCs w:val="21"/>
                <w:lang w:eastAsia="zh-CN"/>
              </w:rPr>
              <w:t>明显提升。</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20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实际完成值</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113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20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指标1：</w:t>
            </w:r>
            <w:r>
              <w:rPr>
                <w:rFonts w:hint="eastAsia" w:ascii="Times New Roman" w:hAnsi="Times New Roman" w:cs="Times New Roman"/>
                <w:color w:val="000000"/>
                <w:kern w:val="0"/>
                <w:sz w:val="21"/>
                <w:szCs w:val="21"/>
                <w:lang w:val="en-US" w:eastAsia="zh-CN"/>
              </w:rPr>
              <w:t>三公经费按额度支出</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3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20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指标2：</w:t>
            </w:r>
            <w:r>
              <w:rPr>
                <w:rFonts w:hint="eastAsia" w:ascii="Times New Roman" w:hAnsi="Times New Roman" w:cs="Times New Roman"/>
                <w:color w:val="000000"/>
                <w:kern w:val="0"/>
                <w:sz w:val="21"/>
                <w:szCs w:val="21"/>
                <w:lang w:val="en-US" w:eastAsia="zh-CN"/>
              </w:rPr>
              <w:t>基本支出完成度</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100%</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3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20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指标3：招生规模</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3100人</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3550人</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3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指标4：教师培训批次</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20批</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22批</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指标1：</w:t>
            </w:r>
            <w:r>
              <w:rPr>
                <w:rFonts w:hint="eastAsia" w:ascii="Times New Roman" w:hAnsi="Times New Roman" w:cs="Times New Roman"/>
                <w:color w:val="000000"/>
                <w:kern w:val="0"/>
                <w:sz w:val="21"/>
                <w:szCs w:val="21"/>
                <w:lang w:val="en-US" w:eastAsia="zh-CN"/>
              </w:rPr>
              <w:t>1+X若干职业技能等级证书通过率</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95%</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95%</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10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指标1：</w:t>
            </w:r>
            <w:r>
              <w:rPr>
                <w:rFonts w:hint="eastAsia" w:ascii="Times New Roman" w:hAnsi="Times New Roman" w:cs="Times New Roman"/>
                <w:color w:val="000000"/>
                <w:kern w:val="0"/>
                <w:sz w:val="21"/>
                <w:szCs w:val="21"/>
                <w:lang w:val="en-US" w:eastAsia="zh-CN"/>
              </w:rPr>
              <w:t>非税收入</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5800万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5800万</w:t>
            </w:r>
            <w:r>
              <w:rPr>
                <w:rFonts w:ascii="Times New Roman" w:hAnsi="Times New Roman" w:eastAsia="仿宋_GB2312" w:cs="Times New Roman"/>
                <w:color w:val="000000"/>
                <w:kern w:val="0"/>
                <w:sz w:val="21"/>
                <w:szCs w:val="21"/>
              </w:rPr>
              <w:t>　</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10" w:firstLineChars="100"/>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10</w:t>
            </w:r>
            <w:r>
              <w:rPr>
                <w:rFonts w:ascii="Times New Roman" w:hAnsi="Times New Roman" w:eastAsia="仿宋_GB2312" w:cs="Times New Roman"/>
                <w:color w:val="000000"/>
                <w:kern w:val="0"/>
                <w:sz w:val="21"/>
                <w:szCs w:val="21"/>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指标1：</w:t>
            </w:r>
            <w:r>
              <w:rPr>
                <w:rFonts w:hint="eastAsia" w:ascii="Times New Roman" w:hAnsi="Times New Roman" w:cs="Times New Roman"/>
                <w:color w:val="000000"/>
                <w:kern w:val="0"/>
                <w:sz w:val="21"/>
                <w:szCs w:val="21"/>
                <w:lang w:val="en-US" w:eastAsia="zh-CN"/>
              </w:rPr>
              <w:t>毕业生就业率</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95%以上</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94%</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9.5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4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可持续影响指标</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指标1：</w:t>
            </w:r>
            <w:r>
              <w:rPr>
                <w:rFonts w:hint="eastAsia" w:ascii="Times New Roman" w:hAnsi="Times New Roman" w:cs="Times New Roman"/>
                <w:color w:val="000000"/>
                <w:kern w:val="0"/>
                <w:sz w:val="21"/>
                <w:szCs w:val="21"/>
                <w:lang w:val="en-US" w:eastAsia="zh-CN"/>
              </w:rPr>
              <w:t>职业技能培训水平</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提升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提升</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4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服务对象满意度指标</w:t>
            </w:r>
          </w:p>
        </w:tc>
        <w:tc>
          <w:tcPr>
            <w:tcW w:w="20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r>
              <w:rPr>
                <w:rFonts w:hint="eastAsia"/>
                <w:sz w:val="21"/>
                <w:szCs w:val="21"/>
              </w:rPr>
              <w:t>家长、学生满意度</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98%以上</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98%以上</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70" w:hRule="atLeast"/>
          <w:jc w:val="center"/>
        </w:trPr>
        <w:tc>
          <w:tcPr>
            <w:tcW w:w="7300"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cs="Times New Roman"/>
                <w:color w:val="000000"/>
                <w:kern w:val="0"/>
                <w:sz w:val="21"/>
                <w:szCs w:val="21"/>
                <w:lang w:eastAsia="zh-CN"/>
              </w:rPr>
              <w:t>分</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99.５分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bl>
    <w:p>
      <w:r>
        <w:rPr>
          <w:rFonts w:ascii="Times New Roman" w:hAnsi="Times New Roman" w:eastAsia="仿宋_GB2312" w:cs="Times New Roman"/>
          <w:kern w:val="0"/>
          <w:sz w:val="21"/>
          <w:szCs w:val="21"/>
        </w:rPr>
        <w:t>填表人：</w:t>
      </w:r>
      <w:r>
        <w:rPr>
          <w:rFonts w:hint="eastAsia" w:ascii="Times New Roman" w:hAnsi="Times New Roman" w:cs="Times New Roman"/>
          <w:kern w:val="0"/>
          <w:sz w:val="21"/>
          <w:szCs w:val="21"/>
          <w:lang w:val="en-US" w:eastAsia="zh-CN"/>
        </w:rPr>
        <w:t>黄子倩</w:t>
      </w:r>
      <w:r>
        <w:rPr>
          <w:rFonts w:ascii="Times New Roman" w:hAnsi="Times New Roman" w:eastAsia="仿宋_GB2312" w:cs="Times New Roman"/>
          <w:kern w:val="0"/>
          <w:sz w:val="21"/>
          <w:szCs w:val="21"/>
        </w:rPr>
        <w:t xml:space="preserve"> 填报日期：</w:t>
      </w:r>
      <w:r>
        <w:rPr>
          <w:rFonts w:hint="eastAsia" w:ascii="Times New Roman" w:hAnsi="Times New Roman" w:cs="Times New Roman"/>
          <w:kern w:val="0"/>
          <w:sz w:val="21"/>
          <w:szCs w:val="21"/>
          <w:lang w:val="en-US" w:eastAsia="zh-CN"/>
        </w:rPr>
        <w:t>2022.04.15</w:t>
      </w:r>
      <w:r>
        <w:rPr>
          <w:rFonts w:ascii="Times New Roman" w:hAnsi="Times New Roman" w:eastAsia="仿宋_GB2312" w:cs="Times New Roman"/>
          <w:kern w:val="0"/>
          <w:sz w:val="21"/>
          <w:szCs w:val="21"/>
        </w:rPr>
        <w:t xml:space="preserve">  联系电话：</w:t>
      </w:r>
      <w:r>
        <w:rPr>
          <w:rFonts w:hint="eastAsia" w:ascii="Times New Roman" w:hAnsi="Times New Roman" w:cs="Times New Roman"/>
          <w:kern w:val="0"/>
          <w:sz w:val="21"/>
          <w:szCs w:val="21"/>
          <w:lang w:val="en-US" w:eastAsia="zh-CN"/>
        </w:rPr>
        <w:t>18773771885</w:t>
      </w:r>
      <w:r>
        <w:rPr>
          <w:rFonts w:ascii="Times New Roman" w:hAnsi="Times New Roman" w:eastAsia="仿宋_GB2312" w:cs="Times New Roman"/>
          <w:kern w:val="0"/>
          <w:sz w:val="21"/>
          <w:szCs w:val="21"/>
        </w:rPr>
        <w:t xml:space="preserve"> 单位负责人签字：</w:t>
      </w:r>
      <w:r>
        <w:rPr>
          <w:rFonts w:hint="eastAsia" w:ascii="Times New Roman" w:hAnsi="Times New Roman" w:cs="Times New Roman"/>
          <w:kern w:val="0"/>
          <w:sz w:val="21"/>
          <w:szCs w:val="21"/>
          <w:lang w:eastAsia="zh-CN"/>
        </w:rPr>
        <w:t>周志宏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xZmM1NWYxMjc5ODY0ODU0YjRkZjRjZWE0MDFiNDgifQ=="/>
  </w:docVars>
  <w:rsids>
    <w:rsidRoot w:val="2D9542D7"/>
    <w:rsid w:val="09135957"/>
    <w:rsid w:val="108503EF"/>
    <w:rsid w:val="12842ED0"/>
    <w:rsid w:val="195D6616"/>
    <w:rsid w:val="1C8B301E"/>
    <w:rsid w:val="26CB78B6"/>
    <w:rsid w:val="2D38312A"/>
    <w:rsid w:val="2D9542D7"/>
    <w:rsid w:val="32E0346C"/>
    <w:rsid w:val="39B91991"/>
    <w:rsid w:val="4ECD492E"/>
    <w:rsid w:val="6B723930"/>
    <w:rsid w:val="7DD67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3288</Words>
  <Characters>3448</Characters>
  <Lines>0</Lines>
  <Paragraphs>0</Paragraphs>
  <TotalTime>4</TotalTime>
  <ScaleCrop>false</ScaleCrop>
  <LinksUpToDate>false</LinksUpToDate>
  <CharactersWithSpaces>3608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2022-04-15T06:42:00Z</dcterms:created>
  <dc:creator>明天告诉你。</dc:creator>
  <cp:lastModifiedBy>唔西·迪西</cp:lastModifiedBy>
  <dcterms:modified xsi:type="dcterms:W3CDTF">2022-09-27T00:48:17Z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243F0717C76C4973AC5BBF887136230E</vt:lpwstr>
  </property>
</Properties>
</file>