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仿宋" w:eastAsia="方正小标宋简体"/>
          <w:b w:val="0"/>
          <w:bCs w:val="0"/>
          <w:sz w:val="44"/>
          <w:szCs w:val="44"/>
        </w:rPr>
      </w:pPr>
      <w:r>
        <w:rPr>
          <w:rFonts w:ascii="方正小标宋简体" w:hAnsi="仿宋" w:eastAsia="方正小标宋简体"/>
          <w:b w:val="0"/>
          <w:bCs w:val="0"/>
          <w:sz w:val="44"/>
          <w:szCs w:val="44"/>
        </w:rPr>
        <w:t>2020</w:t>
      </w:r>
      <w:r>
        <w:rPr>
          <w:rFonts w:hint="eastAsia" w:ascii="方正小标宋简体" w:hAnsi="仿宋" w:eastAsia="方正小标宋简体"/>
          <w:b w:val="0"/>
          <w:bCs w:val="0"/>
          <w:sz w:val="44"/>
          <w:szCs w:val="44"/>
        </w:rPr>
        <w:t>年度益阳医学高等专科学校</w:t>
      </w:r>
    </w:p>
    <w:p>
      <w:pPr>
        <w:spacing w:line="700" w:lineRule="exact"/>
        <w:jc w:val="center"/>
        <w:rPr>
          <w:rFonts w:ascii="方正小标宋简体" w:hAnsi="仿宋" w:eastAsia="方正小标宋简体"/>
          <w:b w:val="0"/>
          <w:bCs w:val="0"/>
          <w:sz w:val="44"/>
          <w:szCs w:val="44"/>
        </w:rPr>
      </w:pPr>
      <w:r>
        <w:rPr>
          <w:rFonts w:hint="eastAsia" w:ascii="方正小标宋简体" w:hAnsi="仿宋" w:eastAsia="方正小标宋简体"/>
          <w:b w:val="0"/>
          <w:bCs w:val="0"/>
          <w:sz w:val="44"/>
          <w:szCs w:val="44"/>
        </w:rPr>
        <w:t>整体支出绩效自评报告</w:t>
      </w:r>
    </w:p>
    <w:p>
      <w:pPr>
        <w:wordWrap/>
        <w:adjustRightInd/>
        <w:snapToGrid/>
        <w:spacing w:before="0" w:after="0" w:line="600" w:lineRule="exact"/>
        <w:ind w:left="0" w:leftChars="0" w:right="0" w:firstLine="720" w:firstLineChars="200"/>
        <w:jc w:val="both"/>
        <w:textAlignment w:val="auto"/>
        <w:outlineLvl w:val="9"/>
        <w:rPr>
          <w:rFonts w:ascii="仿宋" w:hAnsi="仿宋" w:eastAsia="仿宋"/>
          <w:sz w:val="36"/>
          <w:szCs w:val="36"/>
        </w:rPr>
      </w:pPr>
    </w:p>
    <w:p>
      <w:p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一、部门（单位）基本情况</w:t>
      </w:r>
    </w:p>
    <w:p>
      <w:pPr>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职能职责</w:t>
      </w:r>
    </w:p>
    <w:p>
      <w:pPr>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hint="eastAsia" w:ascii="仿宋_GB2312" w:hAnsi="仿宋"/>
          <w:szCs w:val="32"/>
        </w:rPr>
        <w:t>益阳医学高等专科学校始建于</w:t>
      </w:r>
      <w:r>
        <w:rPr>
          <w:rFonts w:ascii="仿宋_GB2312" w:hAnsi="仿宋"/>
          <w:szCs w:val="32"/>
        </w:rPr>
        <w:t>1950</w:t>
      </w:r>
      <w:r>
        <w:rPr>
          <w:rFonts w:hint="eastAsia" w:ascii="仿宋_GB2312" w:hAnsi="仿宋"/>
          <w:szCs w:val="32"/>
        </w:rPr>
        <w:t>年，前身是益阳卫生学校，</w:t>
      </w:r>
      <w:r>
        <w:rPr>
          <w:rFonts w:ascii="仿宋_GB2312" w:hAnsi="仿宋"/>
          <w:szCs w:val="32"/>
        </w:rPr>
        <w:t>2007</w:t>
      </w:r>
      <w:r>
        <w:rPr>
          <w:rFonts w:hint="eastAsia" w:ascii="仿宋_GB2312" w:hAnsi="仿宋"/>
          <w:szCs w:val="32"/>
        </w:rPr>
        <w:t>年经教育部批准升格为公办全日制普通高等专科学校。学校是国家全科医生规范化培训基地、国家口腔健康教育基地、湖南省防治血吸虫病培训基地、中南大学湘雅医院护理人才培养合作学校，先后被评为省级园林式单位、湖南省最美高校、湖南省文明高校、湖南省乡村医生优秀培养学校、湖南省征兵工作先进单位。</w:t>
      </w:r>
      <w:r>
        <w:rPr>
          <w:rFonts w:ascii="仿宋_GB2312" w:hAnsi="仿宋"/>
          <w:szCs w:val="32"/>
        </w:rPr>
        <w:t xml:space="preserve"> </w:t>
      </w:r>
    </w:p>
    <w:p>
      <w:pPr>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hint="eastAsia" w:ascii="仿宋_GB2312" w:hAnsi="仿宋"/>
          <w:szCs w:val="32"/>
        </w:rPr>
        <w:t>学校现有全日制在校学生</w:t>
      </w:r>
      <w:r>
        <w:rPr>
          <w:rFonts w:ascii="仿宋_GB2312" w:hAnsi="仿宋"/>
          <w:szCs w:val="32"/>
        </w:rPr>
        <w:t>10000</w:t>
      </w:r>
      <w:r>
        <w:rPr>
          <w:rFonts w:hint="eastAsia" w:ascii="仿宋_GB2312" w:hAnsi="仿宋"/>
          <w:szCs w:val="32"/>
        </w:rPr>
        <w:t>余人，教职员工</w:t>
      </w:r>
      <w:r>
        <w:rPr>
          <w:rFonts w:ascii="仿宋_GB2312" w:hAnsi="仿宋"/>
          <w:szCs w:val="32"/>
        </w:rPr>
        <w:t>900</w:t>
      </w:r>
      <w:r>
        <w:rPr>
          <w:rFonts w:hint="eastAsia" w:ascii="仿宋_GB2312" w:hAnsi="仿宋"/>
          <w:szCs w:val="32"/>
        </w:rPr>
        <w:t>余人，具有高级职称的</w:t>
      </w:r>
      <w:r>
        <w:rPr>
          <w:rFonts w:ascii="仿宋_GB2312" w:hAnsi="仿宋"/>
          <w:szCs w:val="32"/>
        </w:rPr>
        <w:t>149</w:t>
      </w:r>
      <w:r>
        <w:rPr>
          <w:rFonts w:hint="eastAsia" w:ascii="仿宋_GB2312" w:hAnsi="仿宋"/>
          <w:szCs w:val="32"/>
        </w:rPr>
        <w:t>人，全国五一劳动奖章获得者</w:t>
      </w:r>
      <w:r>
        <w:rPr>
          <w:rFonts w:ascii="仿宋_GB2312" w:hAnsi="仿宋"/>
          <w:szCs w:val="32"/>
        </w:rPr>
        <w:t>1</w:t>
      </w:r>
      <w:r>
        <w:rPr>
          <w:rFonts w:hint="eastAsia" w:ascii="仿宋_GB2312" w:hAnsi="仿宋"/>
          <w:szCs w:val="32"/>
        </w:rPr>
        <w:t>人，全国优秀教师</w:t>
      </w:r>
      <w:r>
        <w:rPr>
          <w:rFonts w:ascii="仿宋_GB2312" w:hAnsi="仿宋"/>
          <w:szCs w:val="32"/>
        </w:rPr>
        <w:t>1</w:t>
      </w:r>
      <w:r>
        <w:rPr>
          <w:rFonts w:hint="eastAsia" w:ascii="仿宋_GB2312" w:hAnsi="仿宋"/>
          <w:szCs w:val="32"/>
        </w:rPr>
        <w:t>人，湖南省“</w:t>
      </w:r>
      <w:r>
        <w:rPr>
          <w:rFonts w:ascii="仿宋_GB2312" w:hAnsi="仿宋"/>
          <w:szCs w:val="32"/>
        </w:rPr>
        <w:t>121</w:t>
      </w:r>
      <w:r>
        <w:rPr>
          <w:rFonts w:hint="eastAsia" w:ascii="仿宋_GB2312" w:hAnsi="仿宋"/>
          <w:szCs w:val="32"/>
        </w:rPr>
        <w:t>”人才库专家</w:t>
      </w:r>
      <w:r>
        <w:rPr>
          <w:rFonts w:ascii="仿宋_GB2312" w:hAnsi="仿宋"/>
          <w:szCs w:val="32"/>
        </w:rPr>
        <w:t>1</w:t>
      </w:r>
      <w:r>
        <w:rPr>
          <w:rFonts w:hint="eastAsia" w:ascii="仿宋_GB2312" w:hAnsi="仿宋"/>
          <w:szCs w:val="32"/>
        </w:rPr>
        <w:t>人，省级青年骨干教师</w:t>
      </w:r>
      <w:r>
        <w:rPr>
          <w:rFonts w:ascii="仿宋_GB2312" w:hAnsi="仿宋"/>
          <w:szCs w:val="32"/>
        </w:rPr>
        <w:t>10</w:t>
      </w:r>
      <w:r>
        <w:rPr>
          <w:rFonts w:hint="eastAsia" w:ascii="仿宋_GB2312" w:hAnsi="仿宋"/>
          <w:szCs w:val="32"/>
        </w:rPr>
        <w:t>人，国内访问学者</w:t>
      </w:r>
      <w:r>
        <w:rPr>
          <w:rFonts w:ascii="仿宋_GB2312" w:hAnsi="仿宋"/>
          <w:szCs w:val="32"/>
        </w:rPr>
        <w:t>13</w:t>
      </w:r>
      <w:r>
        <w:rPr>
          <w:rFonts w:hint="eastAsia" w:ascii="仿宋_GB2312" w:hAnsi="仿宋"/>
          <w:szCs w:val="32"/>
        </w:rPr>
        <w:t>人，益阳市首届周谷城教育奖得者</w:t>
      </w:r>
      <w:r>
        <w:rPr>
          <w:rFonts w:ascii="仿宋_GB2312" w:hAnsi="仿宋"/>
          <w:szCs w:val="32"/>
        </w:rPr>
        <w:t>1</w:t>
      </w:r>
      <w:r>
        <w:rPr>
          <w:rFonts w:hint="eastAsia" w:ascii="仿宋_GB2312" w:hAnsi="仿宋"/>
          <w:szCs w:val="32"/>
        </w:rPr>
        <w:t>人，益阳市五一劳动奖章获得者</w:t>
      </w:r>
      <w:r>
        <w:rPr>
          <w:rFonts w:ascii="仿宋_GB2312" w:hAnsi="仿宋"/>
          <w:szCs w:val="32"/>
        </w:rPr>
        <w:t>1</w:t>
      </w:r>
      <w:r>
        <w:rPr>
          <w:rFonts w:hint="eastAsia" w:ascii="仿宋_GB2312" w:hAnsi="仿宋"/>
          <w:szCs w:val="32"/>
        </w:rPr>
        <w:t>人，益阳市道德模范</w:t>
      </w:r>
      <w:r>
        <w:rPr>
          <w:rFonts w:ascii="仿宋_GB2312" w:hAnsi="仿宋"/>
          <w:szCs w:val="32"/>
        </w:rPr>
        <w:t>1</w:t>
      </w:r>
      <w:r>
        <w:rPr>
          <w:rFonts w:hint="eastAsia" w:ascii="仿宋_GB2312" w:hAnsi="仿宋"/>
          <w:szCs w:val="32"/>
        </w:rPr>
        <w:t>人。</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 xml:space="preserve"> </w:t>
      </w:r>
      <w:r>
        <w:rPr>
          <w:rFonts w:hint="eastAsia" w:ascii="仿宋_GB2312" w:hAnsi="仿宋"/>
          <w:szCs w:val="32"/>
        </w:rPr>
        <w:t>学校秉持“明德弘医，博学致远”的校训精神，坚持“以服务益阳和环洞庭湖地区为重点，面向湖南，辐射全国，为医疗卫生机构培养高素质应用型人才”的办学定位，突出“以学生为本，以教学为中心，以加强教师队伍建设为重点，以深化教学改革和提高科研水平为核心，以提高教育教学质量为生命”的办学理念，全面推进“活力校园、法治校园、科技校园、幸福校园”建设，全力打造“国内特色、湖南一流”医学高等院校。</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机构设置</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hint="eastAsia" w:ascii="仿宋_GB2312" w:hAnsi="仿宋"/>
          <w:szCs w:val="32"/>
        </w:rPr>
        <w:t>学校内设</w:t>
      </w:r>
      <w:r>
        <w:rPr>
          <w:rFonts w:ascii="仿宋_GB2312" w:hAnsi="仿宋"/>
          <w:szCs w:val="32"/>
        </w:rPr>
        <w:t>11</w:t>
      </w:r>
      <w:r>
        <w:rPr>
          <w:rFonts w:hint="eastAsia" w:ascii="仿宋_GB2312" w:hAnsi="仿宋"/>
          <w:szCs w:val="32"/>
        </w:rPr>
        <w:t>个党群行政机构，分别为党政办公室、工会、计划财务处、组织人事处、宣传统战部、纪检监察审计室科研处、教务处、学工处、保卫处、招生就业处、后勤处，</w:t>
      </w:r>
      <w:r>
        <w:rPr>
          <w:rFonts w:ascii="仿宋_GB2312" w:hAnsi="仿宋"/>
          <w:szCs w:val="32"/>
        </w:rPr>
        <w:t>7</w:t>
      </w:r>
      <w:r>
        <w:rPr>
          <w:rFonts w:hint="eastAsia" w:ascii="仿宋_GB2312" w:hAnsi="仿宋"/>
          <w:szCs w:val="32"/>
        </w:rPr>
        <w:t>个教学系部，分别为：临床医学系、口腔医学系、护理系、药学系、基础医学部、检验系、公共课部；</w:t>
      </w:r>
      <w:r>
        <w:rPr>
          <w:rFonts w:ascii="仿宋_GB2312" w:hAnsi="仿宋"/>
          <w:szCs w:val="32"/>
        </w:rPr>
        <w:t>3</w:t>
      </w:r>
      <w:r>
        <w:rPr>
          <w:rFonts w:hint="eastAsia" w:ascii="仿宋_GB2312" w:hAnsi="仿宋"/>
          <w:szCs w:val="32"/>
        </w:rPr>
        <w:t>个教辅机构，分别为图书馆、继续教育部、科研处。学校开设临床医学、口腔医学、药学、护理、助产、医学检验技术、康复治疗技术、中药、药品质量与安全、药品生产技术、眼视光技术、健康管理等</w:t>
      </w:r>
      <w:r>
        <w:rPr>
          <w:rFonts w:ascii="仿宋_GB2312" w:hAnsi="仿宋"/>
          <w:szCs w:val="32"/>
        </w:rPr>
        <w:t>12</w:t>
      </w:r>
      <w:r>
        <w:rPr>
          <w:rFonts w:hint="eastAsia" w:ascii="仿宋_GB2312" w:hAnsi="仿宋"/>
          <w:szCs w:val="32"/>
        </w:rPr>
        <w:t>个专业</w:t>
      </w:r>
      <w:r>
        <w:rPr>
          <w:rFonts w:ascii="仿宋_GB2312" w:hAnsi="仿宋"/>
          <w:szCs w:val="32"/>
        </w:rPr>
        <w:t>,</w:t>
      </w:r>
      <w:r>
        <w:rPr>
          <w:rFonts w:hint="eastAsia" w:ascii="仿宋_GB2312" w:hAnsi="仿宋"/>
          <w:szCs w:val="32"/>
        </w:rPr>
        <w:t>各级各类在校学生</w:t>
      </w:r>
      <w:r>
        <w:rPr>
          <w:rFonts w:ascii="仿宋_GB2312" w:hAnsi="仿宋"/>
          <w:szCs w:val="32"/>
        </w:rPr>
        <w:t>1</w:t>
      </w:r>
      <w:r>
        <w:rPr>
          <w:rFonts w:hint="eastAsia" w:ascii="仿宋_GB2312" w:hAnsi="仿宋"/>
          <w:szCs w:val="32"/>
        </w:rPr>
        <w:t>万余人。</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hint="eastAsia" w:ascii="仿宋_GB2312" w:hAnsi="仿宋"/>
          <w:szCs w:val="32"/>
        </w:rPr>
        <w:t>学校建有</w:t>
      </w:r>
      <w:r>
        <w:rPr>
          <w:rFonts w:ascii="仿宋_GB2312" w:hAnsi="仿宋"/>
          <w:szCs w:val="32"/>
        </w:rPr>
        <w:t>1</w:t>
      </w:r>
      <w:r>
        <w:rPr>
          <w:rFonts w:hint="eastAsia" w:ascii="仿宋_GB2312" w:hAnsi="仿宋"/>
          <w:szCs w:val="32"/>
        </w:rPr>
        <w:t>所直属综合型附属医院和</w:t>
      </w:r>
      <w:r>
        <w:rPr>
          <w:rFonts w:ascii="仿宋_GB2312" w:hAnsi="仿宋"/>
          <w:szCs w:val="32"/>
        </w:rPr>
        <w:t>1</w:t>
      </w:r>
      <w:r>
        <w:rPr>
          <w:rFonts w:hint="eastAsia" w:ascii="仿宋_GB2312" w:hAnsi="仿宋"/>
          <w:szCs w:val="32"/>
        </w:rPr>
        <w:t>所附属口腔医院，床位</w:t>
      </w:r>
      <w:r>
        <w:rPr>
          <w:rFonts w:ascii="仿宋_GB2312" w:hAnsi="仿宋"/>
          <w:szCs w:val="32"/>
        </w:rPr>
        <w:t>800</w:t>
      </w:r>
      <w:r>
        <w:rPr>
          <w:rFonts w:hint="eastAsia" w:ascii="仿宋_GB2312" w:hAnsi="仿宋"/>
          <w:szCs w:val="32"/>
        </w:rPr>
        <w:t>张。拥有</w:t>
      </w:r>
      <w:r>
        <w:rPr>
          <w:rFonts w:ascii="仿宋_GB2312" w:hAnsi="仿宋"/>
          <w:szCs w:val="32"/>
        </w:rPr>
        <w:t>2</w:t>
      </w:r>
      <w:r>
        <w:rPr>
          <w:rFonts w:hint="eastAsia" w:ascii="仿宋_GB2312" w:hAnsi="仿宋"/>
          <w:szCs w:val="32"/>
        </w:rPr>
        <w:t>所非直属附属医院，</w:t>
      </w:r>
      <w:r>
        <w:rPr>
          <w:rFonts w:ascii="仿宋_GB2312" w:hAnsi="仿宋"/>
          <w:szCs w:val="32"/>
        </w:rPr>
        <w:t>6</w:t>
      </w:r>
      <w:r>
        <w:rPr>
          <w:rFonts w:hint="eastAsia" w:ascii="仿宋_GB2312" w:hAnsi="仿宋"/>
          <w:szCs w:val="32"/>
        </w:rPr>
        <w:t>所教学医院和</w:t>
      </w:r>
      <w:r>
        <w:rPr>
          <w:rFonts w:ascii="仿宋_GB2312" w:hAnsi="仿宋"/>
          <w:szCs w:val="32"/>
        </w:rPr>
        <w:t>80</w:t>
      </w:r>
      <w:r>
        <w:rPr>
          <w:rFonts w:hint="eastAsia" w:ascii="仿宋_GB2312" w:hAnsi="仿宋"/>
          <w:szCs w:val="32"/>
        </w:rPr>
        <w:t>余家校外实践基地。</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一般公共预算支出情况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年度学校一般公共预算财政拨款支出共计</w:t>
      </w:r>
      <w:r>
        <w:rPr>
          <w:rFonts w:ascii="仿宋_GB2312" w:hAnsi="仿宋"/>
          <w:szCs w:val="32"/>
        </w:rPr>
        <w:t xml:space="preserve"> 10720.65</w:t>
      </w:r>
      <w:r>
        <w:rPr>
          <w:rFonts w:hint="eastAsia" w:ascii="仿宋_GB2312" w:hAnsi="仿宋"/>
          <w:szCs w:val="32"/>
        </w:rPr>
        <w:t>万元，其中基本支出</w:t>
      </w:r>
      <w:r>
        <w:rPr>
          <w:rFonts w:ascii="仿宋_GB2312" w:hAnsi="仿宋"/>
          <w:szCs w:val="32"/>
        </w:rPr>
        <w:t>8109.65</w:t>
      </w:r>
      <w:r>
        <w:rPr>
          <w:rFonts w:hint="eastAsia" w:ascii="仿宋_GB2312" w:hAnsi="仿宋"/>
          <w:szCs w:val="32"/>
        </w:rPr>
        <w:t>万元，项目支出</w:t>
      </w:r>
      <w:r>
        <w:rPr>
          <w:rFonts w:ascii="仿宋_GB2312" w:hAnsi="仿宋"/>
          <w:szCs w:val="32"/>
        </w:rPr>
        <w:t>2611</w:t>
      </w:r>
      <w:r>
        <w:rPr>
          <w:rFonts w:hint="eastAsia" w:ascii="仿宋_GB2312" w:hAnsi="仿宋"/>
          <w:szCs w:val="32"/>
        </w:rPr>
        <w:t>万元。</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hint="eastAsia" w:ascii="仿宋_GB2312" w:hAnsi="仿宋"/>
          <w:szCs w:val="32"/>
        </w:rPr>
        <w:t>基本支出</w:t>
      </w:r>
      <w:r>
        <w:rPr>
          <w:rFonts w:ascii="仿宋_GB2312" w:hAnsi="仿宋"/>
          <w:szCs w:val="32"/>
        </w:rPr>
        <w:t>8109.65</w:t>
      </w:r>
      <w:r>
        <w:rPr>
          <w:rFonts w:hint="eastAsia" w:ascii="仿宋_GB2312" w:hAnsi="仿宋"/>
          <w:szCs w:val="32"/>
        </w:rPr>
        <w:t>万元，其中：工资福利支出</w:t>
      </w:r>
      <w:r>
        <w:rPr>
          <w:rFonts w:ascii="仿宋_GB2312" w:hAnsi="仿宋"/>
          <w:szCs w:val="32"/>
        </w:rPr>
        <w:t>3050.3</w:t>
      </w:r>
      <w:r>
        <w:rPr>
          <w:rFonts w:hint="eastAsia" w:ascii="仿宋_GB2312" w:hAnsi="仿宋"/>
          <w:szCs w:val="32"/>
        </w:rPr>
        <w:t>万元、商品和服务支出</w:t>
      </w:r>
      <w:r>
        <w:rPr>
          <w:rFonts w:ascii="仿宋_GB2312" w:hAnsi="仿宋"/>
          <w:szCs w:val="32"/>
        </w:rPr>
        <w:t>3227.62</w:t>
      </w:r>
      <w:r>
        <w:rPr>
          <w:rFonts w:hint="eastAsia" w:ascii="仿宋_GB2312" w:hAnsi="仿宋"/>
          <w:szCs w:val="32"/>
        </w:rPr>
        <w:t>万元、对个人和家庭的补助</w:t>
      </w:r>
      <w:r>
        <w:rPr>
          <w:rFonts w:ascii="仿宋_GB2312" w:hAnsi="仿宋"/>
          <w:szCs w:val="32"/>
        </w:rPr>
        <w:t>550.58</w:t>
      </w:r>
      <w:r>
        <w:rPr>
          <w:rFonts w:hint="eastAsia" w:ascii="仿宋_GB2312" w:hAnsi="仿宋"/>
          <w:szCs w:val="32"/>
        </w:rPr>
        <w:t>万元。</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 </w:t>
      </w:r>
      <w:r>
        <w:rPr>
          <w:rFonts w:hint="eastAsia" w:ascii="仿宋_GB2312" w:hAnsi="仿宋"/>
          <w:szCs w:val="32"/>
        </w:rPr>
        <w:t>项目支出</w:t>
      </w:r>
      <w:r>
        <w:rPr>
          <w:rFonts w:ascii="仿宋_GB2312" w:hAnsi="仿宋"/>
          <w:szCs w:val="32"/>
        </w:rPr>
        <w:t>2611</w:t>
      </w:r>
      <w:r>
        <w:rPr>
          <w:rFonts w:hint="eastAsia" w:ascii="仿宋_GB2312" w:hAnsi="仿宋"/>
          <w:szCs w:val="32"/>
        </w:rPr>
        <w:t>万元，主要用于学校信息化建设、实验室更新改造、专用设备购置、学校综教楼工程款等。</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年度学校“三公”经费财政拨款支出为</w:t>
      </w:r>
      <w:r>
        <w:rPr>
          <w:rFonts w:ascii="仿宋_GB2312" w:hAnsi="仿宋"/>
          <w:szCs w:val="32"/>
        </w:rPr>
        <w:t>18</w:t>
      </w:r>
      <w:r>
        <w:rPr>
          <w:rFonts w:hint="eastAsia" w:ascii="仿宋_GB2312" w:hAnsi="仿宋"/>
          <w:szCs w:val="32"/>
        </w:rPr>
        <w:t>万元，其中：公务接待费支出为</w:t>
      </w:r>
      <w:r>
        <w:rPr>
          <w:rFonts w:ascii="仿宋_GB2312" w:hAnsi="仿宋"/>
          <w:szCs w:val="32"/>
        </w:rPr>
        <w:t>18</w:t>
      </w:r>
      <w:r>
        <w:rPr>
          <w:rFonts w:hint="eastAsia" w:ascii="仿宋_GB2312" w:hAnsi="仿宋"/>
          <w:szCs w:val="32"/>
        </w:rPr>
        <w:t>万元，国内公务接待</w:t>
      </w:r>
      <w:r>
        <w:rPr>
          <w:rFonts w:ascii="仿宋_GB2312" w:hAnsi="仿宋"/>
          <w:szCs w:val="32"/>
        </w:rPr>
        <w:t>289</w:t>
      </w:r>
      <w:r>
        <w:rPr>
          <w:rFonts w:hint="eastAsia" w:ascii="仿宋_GB2312" w:hAnsi="仿宋"/>
          <w:szCs w:val="32"/>
        </w:rPr>
        <w:t>批次，接待</w:t>
      </w:r>
      <w:r>
        <w:rPr>
          <w:rFonts w:ascii="仿宋_GB2312" w:hAnsi="仿宋"/>
          <w:szCs w:val="32"/>
        </w:rPr>
        <w:t>2256</w:t>
      </w:r>
      <w:r>
        <w:rPr>
          <w:rFonts w:hint="eastAsia" w:ascii="仿宋_GB2312" w:hAnsi="仿宋"/>
          <w:szCs w:val="32"/>
        </w:rPr>
        <w:t>人。接待支出主要用于出席会议、考察调研、执行任务、学习交流、检查指导、请示汇报工作等公务活动。</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政府性基金预算支出情况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年学校政府性基金预算支出为</w:t>
      </w:r>
      <w:r>
        <w:rPr>
          <w:rFonts w:ascii="仿宋_GB2312" w:hAnsi="仿宋"/>
          <w:szCs w:val="32"/>
        </w:rPr>
        <w:t>12.82</w:t>
      </w:r>
      <w:r>
        <w:rPr>
          <w:rFonts w:hint="eastAsia" w:ascii="仿宋_GB2312" w:hAnsi="仿宋"/>
          <w:szCs w:val="32"/>
        </w:rPr>
        <w:t>万，主要用于抗疫专项价格临时补贴支出。</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国有资本经营预算支出情况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年学校无国有资本经营预算支出</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社会保险基金预算支出情况、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年学校无社会保险基金预算支出</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ascii="黑体" w:hAnsi="黑体" w:eastAsia="黑体"/>
          <w:szCs w:val="32"/>
        </w:rPr>
      </w:pPr>
      <w:r>
        <w:rPr>
          <w:rFonts w:hint="eastAsia" w:ascii="黑体" w:hAnsi="黑体" w:eastAsia="黑体"/>
          <w:szCs w:val="32"/>
        </w:rPr>
        <w:t>部门整体支出绩效情况</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2020</w:t>
      </w:r>
      <w:r>
        <w:rPr>
          <w:rFonts w:hint="eastAsia" w:ascii="仿宋_GB2312" w:hAnsi="仿宋"/>
          <w:szCs w:val="32"/>
        </w:rPr>
        <w:t>年根据学校年初工作规划和重点工作，围绕市委、市政府的工作部署，积极履行职责，强化管理，较好地完成了年度工作目标。同时加强预算收支管理，不断建立健全内部管理制度，梳理内部管理流程，部门整体支出管理情况得到了提升。部门整体支出绩效情况如下：</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（一）经济性评价方面</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1</w:t>
      </w:r>
      <w:r>
        <w:rPr>
          <w:rFonts w:hint="eastAsia" w:ascii="仿宋_GB2312" w:hAnsi="仿宋"/>
          <w:szCs w:val="32"/>
        </w:rPr>
        <w:t>、预算执行方面：除专项预算的追加和政策性工资绩效预算的追加外，支出总额控制在预算总额以内；转移支付在收到专项资金时及时进行了拨付</w:t>
      </w:r>
      <w:r>
        <w:rPr>
          <w:rFonts w:hint="eastAsia" w:ascii="仿宋_GB2312" w:hAnsi="仿宋"/>
          <w:szCs w:val="32"/>
          <w:lang w:eastAsia="zh-CN"/>
        </w:rPr>
        <w:t>，</w:t>
      </w:r>
      <w:r>
        <w:rPr>
          <w:rFonts w:hint="eastAsia" w:ascii="仿宋_GB2312" w:hAnsi="仿宋"/>
          <w:szCs w:val="32"/>
        </w:rPr>
        <w:t>不存在截留或滞留专项资金情况；三公经费总额和财政拨款支出三公经费总体控制较好。</w:t>
      </w:r>
    </w:p>
    <w:p>
      <w:pPr>
        <w:widowControl w:val="0"/>
        <w:wordWrap/>
        <w:adjustRightInd/>
        <w:snapToGrid/>
        <w:spacing w:before="0" w:after="0" w:line="600" w:lineRule="exact"/>
        <w:ind w:left="0" w:leftChars="0" w:right="0" w:firstLine="640" w:firstLineChars="200"/>
        <w:jc w:val="both"/>
        <w:textAlignment w:val="auto"/>
        <w:outlineLvl w:val="9"/>
        <w:rPr>
          <w:rFonts w:ascii="仿宋_GB2312" w:hAnsi="仿宋"/>
          <w:szCs w:val="32"/>
        </w:rPr>
      </w:pPr>
      <w:r>
        <w:rPr>
          <w:rFonts w:ascii="仿宋_GB2312" w:hAnsi="仿宋"/>
          <w:szCs w:val="32"/>
        </w:rPr>
        <w:t>2</w:t>
      </w:r>
      <w:r>
        <w:rPr>
          <w:rFonts w:hint="eastAsia" w:ascii="仿宋_GB2312" w:hAnsi="仿宋"/>
          <w:szCs w:val="32"/>
        </w:rPr>
        <w:t>、资产管理方面：建立了资产管理制度，对全校资产进行了详细的盘点，设置了各处室系部资产管理员，做好了资产台账，实现了实物资产的</w:t>
      </w:r>
      <w:r>
        <w:rPr>
          <w:rFonts w:ascii="仿宋_GB2312" w:hAnsi="仿宋"/>
          <w:szCs w:val="32"/>
        </w:rPr>
        <w:t xml:space="preserve">   </w:t>
      </w:r>
      <w:r>
        <w:rPr>
          <w:rFonts w:hint="eastAsia" w:ascii="仿宋_GB2312" w:hAnsi="仿宋"/>
          <w:szCs w:val="32"/>
        </w:rPr>
        <w:t>“一物一卡一条码”，总体执行较好。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（二）效率性评价和有效性评价</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1</w:t>
      </w:r>
      <w:r>
        <w:rPr>
          <w:rFonts w:hint="eastAsia" w:ascii="仿宋_GB2312" w:hAnsi="仿宋_GB2312" w:eastAsia="仿宋_GB2312" w:cs="仿宋_GB2312"/>
          <w:szCs w:val="32"/>
        </w:rPr>
        <w:t>、疫情防控、脱贫攻坚方面　在疫情防控工作中，学校强化疫情防控条件保障，加强校园环境卫生整治，严格校园管理；积极开展线上教学，保障教育教学活动正常有序开展；强化网络舆情监管，引导师生理性对待疫情信息；在防控一线设立党员先锋岗、党员责任区，有效保障了全校师生的身体健康和生命安全。在脱贫攻坚工作中，学校开展脱贫攻坚“百日冲刺”行动，帮助跳石村133户347人建档立卡贫困户在现行标准下全部稳定脱贫。在纪念办学70周年活动中，学校用40天筹备出一系列精彩纷呈的纪念活动，实现了回顾办学历程、展示办学成就、加强校友联谊、振奋师生精神、促进学校发展的目标，受到社会各界的一致好评。</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2</w:t>
      </w:r>
      <w:r>
        <w:rPr>
          <w:rFonts w:hint="eastAsia" w:ascii="仿宋_GB2312" w:hAnsi="仿宋_GB2312" w:eastAsia="仿宋_GB2312" w:cs="仿宋_GB2312"/>
          <w:szCs w:val="32"/>
        </w:rPr>
        <w:t>、教育教学改革方面　深化“三教”改革，加快推进健康养老服务等3大专业群建设，全面修订13个专业人才培养方案且通过省厅合格验收，药学、护理专业获2020年湖南省高职高专院校专业人才培养方案检查优秀等级。深化产教融合、校企合作，规范“1+1+1”教学点教学管理，与中国健康传媒集团签订战略合作框架协议。稳步推进1+X证书制度试点，开展养老护理等职业技能培训与鉴定。</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3</w:t>
      </w:r>
      <w:r>
        <w:rPr>
          <w:rFonts w:hint="eastAsia" w:ascii="仿宋_GB2312" w:hAnsi="仿宋_GB2312" w:eastAsia="仿宋_GB2312" w:cs="仿宋_GB2312"/>
          <w:szCs w:val="32"/>
        </w:rPr>
        <w:t>、师资队伍建设方面　坚持人才强校战略，荣聘谭蔚泓院士担任学校名誉校长、特聘教授；1 人获评市首届优秀社科专家，1 人获评市心理学学术学科带头人，1人获评银城科技人才托举工程培养对象。录用新进人员31人，选送37名教师参加省职业院校教师素质提高计划国家级培训项目，5人参加省职业院校教师素质提高计划省级培训项目。组织2020年度高校教师系列职称评审，4人聘为正高，14人聘为副高。教师在省级教学竞赛中获二等奖2项、三等奖2项，参加第二届湖南省医学科技创新创业大赛获得三等奖及最具投资价值奖。护理专业教学团队获评2020年湖南省职业院校培育建设专业教学团队。</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4</w:t>
      </w:r>
      <w:r>
        <w:rPr>
          <w:rFonts w:hint="eastAsia" w:ascii="仿宋_GB2312" w:hAnsi="仿宋_GB2312" w:eastAsia="仿宋_GB2312" w:cs="仿宋_GB2312"/>
          <w:szCs w:val="32"/>
        </w:rPr>
        <w:t>、人才培养方面。2020年，学校生源质量稳步提升，统招录取分数线较2019年提高50分。在全省职业院校学生技能竞赛中斩获1个一等奖、3个二等奖、7个三等奖。组织1030名学生参加1+X”职业技能等级证书考试，通过率达90%以上，其中母婴护理证书通过率达100%。承办市技能大赛育婴员实操技能竞赛并包揽一二三等奖。大专毕业生护考通过率达到98.17%，创历史新高。459名毕业生对口“专升本”，整体录取率连续六年全省第一。毕业生年终就业率达到90%，省教育厅就业创业“一把手工程”考核评定为“良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5</w:t>
      </w:r>
      <w:r>
        <w:rPr>
          <w:rFonts w:hint="eastAsia" w:ascii="仿宋_GB2312" w:hAnsi="仿宋_GB2312" w:eastAsia="仿宋_GB2312" w:cs="仿宋_GB2312"/>
          <w:szCs w:val="32"/>
        </w:rPr>
        <w:t>、医疗卫生事业方面。附属医院顺利通过二甲医院复评，全年完成业务收入1.2亿元。健康管理中心投入运营。获评省助理全科医生培训优秀培训基地、市紧急救援工作先进单位。附属口腔医院全年接待门诊5.8万人次，完成业绩3900万元，比去年增长20%。医院专业科室建设成效明显。国家项目“窝沟封闭”通过省牙防办督导，圆满完成2019-2020年度窝沟封闭项目任务。</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七、</w:t>
      </w:r>
      <w:r>
        <w:rPr>
          <w:rFonts w:hint="eastAsia" w:ascii="黑体" w:hAnsi="黑体" w:eastAsia="黑体"/>
          <w:szCs w:val="32"/>
        </w:rPr>
        <w:t>存在的问题及原因分析</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lang w:val="en-US" w:eastAsia="zh-CN"/>
        </w:rPr>
        <w:t>1</w:t>
      </w:r>
      <w:r>
        <w:rPr>
          <w:rFonts w:hint="eastAsia" w:ascii="仿宋_GB2312" w:hAnsi="仿宋"/>
          <w:kern w:val="2"/>
          <w:sz w:val="32"/>
          <w:szCs w:val="32"/>
        </w:rPr>
        <w:t>、预算的执行进度有待进一步提高。</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ascii="仿宋_GB2312" w:hAnsi="仿宋"/>
          <w:kern w:val="2"/>
          <w:sz w:val="32"/>
          <w:szCs w:val="32"/>
        </w:rPr>
        <w:t>2</w:t>
      </w:r>
      <w:r>
        <w:rPr>
          <w:rFonts w:hint="eastAsia" w:ascii="仿宋_GB2312" w:hAnsi="仿宋"/>
          <w:kern w:val="2"/>
          <w:sz w:val="32"/>
          <w:szCs w:val="32"/>
        </w:rPr>
        <w:t>、学校财务管理缺乏必要的现代管理理念、财务风险防范意识、成本管理意识。财务管理人员仅停留在繁琐的记账、报账等事务性工作上，无法应对复杂多变的经济形势和高校快速发展的需要。</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ascii="仿宋_GB2312" w:hAnsi="仿宋"/>
          <w:kern w:val="2"/>
          <w:sz w:val="32"/>
          <w:szCs w:val="32"/>
        </w:rPr>
        <w:t>3</w:t>
      </w:r>
      <w:r>
        <w:rPr>
          <w:rFonts w:hint="eastAsia" w:ascii="仿宋_GB2312" w:hAnsi="仿宋"/>
          <w:kern w:val="2"/>
          <w:sz w:val="32"/>
          <w:szCs w:val="32"/>
        </w:rPr>
        <w:t>、财务管理人员的整体素质不高，制约了高校财务管理水平的提高。外界经济环境不断变化和高校规模不断扩大和发展，对高校财务管理的要求越来越高。然而，高校财务人员的整体素质与社会经济发展要求相差甚远。</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八、</w:t>
      </w:r>
      <w:r>
        <w:rPr>
          <w:rFonts w:hint="eastAsia" w:ascii="黑体" w:hAnsi="黑体" w:eastAsia="黑体"/>
          <w:szCs w:val="32"/>
        </w:rPr>
        <w:t>下一步改进措施</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针对上述存在的问题及我校整体支出管理工作的需要，拟实施的改进措施如下：</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１、进一步重视预算的编制工作，提高预算编制的精确度，尽量减少预算执行调整、结转和结余注销的情形。</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２、对财政资金下达时间滞后的项目，加强与财政部门的沟通联系，尽早取得资金的拨付，保障项目资金的投入进度，发挥资金的使用效益。</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３、加强财务管理人员队伍建设，提升财务管理工作的整体水平。注重财务管理人员职业道德修养的培养、营造在职培训的机会、加强财务人员沟通协调能力的培养、建立梯级人才培养新机制，对财务管理人员按现阶段的能力情况进行分级培养，实现多层次的人才素质的全面提高。</w:t>
      </w:r>
    </w:p>
    <w:p>
      <w:pPr>
        <w:pStyle w:val="7"/>
        <w:widowControl w:val="0"/>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cs="仿宋_GB2312"/>
          <w:kern w:val="2"/>
          <w:sz w:val="32"/>
          <w:szCs w:val="32"/>
          <w:lang w:val="en-US" w:eastAsia="zh-CN"/>
        </w:rPr>
        <w:t>4、</w:t>
      </w:r>
      <w:r>
        <w:rPr>
          <w:rFonts w:hint="eastAsia" w:ascii="仿宋_GB2312" w:hAnsi="仿宋_GB2312" w:eastAsia="仿宋_GB2312" w:cs="仿宋_GB2312"/>
          <w:kern w:val="2"/>
          <w:sz w:val="32"/>
          <w:szCs w:val="32"/>
        </w:rPr>
        <w:t>加强内部控制制度的建设，规范经济运行机制。从学校领导到各个员工都应对内部控制给予足够的重视，做到全员参与，内部控制才能得到有效的实施。 </w:t>
      </w:r>
    </w:p>
    <w:p>
      <w:pPr>
        <w:widowControl w:val="0"/>
        <w:numPr>
          <w:ilvl w:val="0"/>
          <w:numId w:val="0"/>
        </w:numPr>
        <w:wordWrap/>
        <w:adjustRightInd/>
        <w:snapToGrid/>
        <w:spacing w:before="0" w:after="0" w:line="600" w:lineRule="exact"/>
        <w:ind w:leftChars="200" w:right="0"/>
        <w:jc w:val="both"/>
        <w:textAlignment w:val="auto"/>
        <w:outlineLvl w:val="9"/>
        <w:rPr>
          <w:rFonts w:ascii="黑体" w:hAnsi="黑体" w:eastAsia="黑体"/>
          <w:szCs w:val="32"/>
        </w:rPr>
      </w:pPr>
      <w:r>
        <w:rPr>
          <w:rFonts w:hint="eastAsia" w:ascii="黑体" w:hAnsi="黑体" w:eastAsia="黑体"/>
          <w:szCs w:val="32"/>
          <w:lang w:eastAsia="zh-CN"/>
        </w:rPr>
        <w:t>九、</w:t>
      </w:r>
      <w:r>
        <w:rPr>
          <w:rFonts w:hint="eastAsia" w:ascii="黑体" w:hAnsi="黑体" w:eastAsia="黑体"/>
          <w:szCs w:val="32"/>
        </w:rPr>
        <w:t>部门整体支出绩效自评结果拟应用和公开情况</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财政支出绩效评价结果应用是增强资金绩效观念，加强财政支出管理，优化财政支出结构，提高资金管理水平和使用效益的重要手段。学校重视绩效评价结果的应用工作，积极探索和建立了一套与预算管理相结合、多渠道应用评价结果的有效机制，充分发挥绩效评价的以评促管效能。</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绩效评价结果</w:t>
      </w:r>
      <w:r>
        <w:rPr>
          <w:rFonts w:hint="eastAsia" w:ascii="仿宋_GB2312" w:hAnsi="仿宋"/>
          <w:kern w:val="2"/>
          <w:sz w:val="32"/>
          <w:szCs w:val="32"/>
          <w:lang w:eastAsia="zh-CN"/>
        </w:rPr>
        <w:t>将</w:t>
      </w:r>
      <w:r>
        <w:rPr>
          <w:rFonts w:hint="eastAsia" w:ascii="仿宋_GB2312" w:hAnsi="仿宋"/>
          <w:kern w:val="2"/>
          <w:sz w:val="32"/>
          <w:szCs w:val="32"/>
        </w:rPr>
        <w:t>作为</w:t>
      </w:r>
      <w:r>
        <w:rPr>
          <w:rFonts w:hint="eastAsia" w:ascii="仿宋_GB2312" w:hAnsi="仿宋"/>
          <w:kern w:val="2"/>
          <w:sz w:val="32"/>
          <w:szCs w:val="32"/>
          <w:lang w:eastAsia="zh-CN"/>
        </w:rPr>
        <w:t>学校</w:t>
      </w:r>
      <w:r>
        <w:rPr>
          <w:rFonts w:hint="eastAsia" w:ascii="仿宋_GB2312" w:hAnsi="仿宋"/>
          <w:kern w:val="2"/>
          <w:sz w:val="32"/>
          <w:szCs w:val="32"/>
        </w:rPr>
        <w:t>下年安排部门整体支出资金的重要依据，为下一年预算编制提供参考。</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r>
        <w:rPr>
          <w:rFonts w:hint="eastAsia" w:ascii="仿宋_GB2312" w:hAnsi="仿宋"/>
          <w:kern w:val="2"/>
          <w:sz w:val="32"/>
          <w:szCs w:val="32"/>
        </w:rPr>
        <w:t>（</w:t>
      </w:r>
      <w:r>
        <w:rPr>
          <w:rFonts w:hint="eastAsia" w:ascii="仿宋_GB2312" w:hAnsi="仿宋"/>
          <w:kern w:val="2"/>
          <w:sz w:val="32"/>
          <w:szCs w:val="32"/>
          <w:lang w:eastAsia="zh-CN"/>
        </w:rPr>
        <w:t>一</w:t>
      </w:r>
      <w:r>
        <w:rPr>
          <w:rFonts w:hint="eastAsia" w:ascii="仿宋_GB2312" w:hAnsi="仿宋"/>
          <w:kern w:val="2"/>
          <w:sz w:val="32"/>
          <w:szCs w:val="32"/>
        </w:rPr>
        <w:t>）通过绩效评价结果</w:t>
      </w:r>
      <w:r>
        <w:rPr>
          <w:rFonts w:hint="eastAsia" w:ascii="仿宋_GB2312" w:hAnsi="仿宋"/>
          <w:kern w:val="2"/>
          <w:sz w:val="32"/>
          <w:szCs w:val="32"/>
          <w:lang w:eastAsia="zh-CN"/>
        </w:rPr>
        <w:t>能够</w:t>
      </w:r>
      <w:r>
        <w:rPr>
          <w:rFonts w:hint="eastAsia" w:ascii="仿宋_GB2312" w:hAnsi="仿宋"/>
          <w:kern w:val="2"/>
          <w:sz w:val="32"/>
          <w:szCs w:val="32"/>
        </w:rPr>
        <w:t>了解资金的配置是否合理，是否发挥了应有的作用，支出规模是否适当，</w:t>
      </w:r>
      <w:r>
        <w:rPr>
          <w:rFonts w:hint="eastAsia" w:ascii="仿宋_GB2312" w:hAnsi="仿宋"/>
          <w:kern w:val="2"/>
          <w:sz w:val="32"/>
          <w:szCs w:val="32"/>
          <w:lang w:eastAsia="zh-CN"/>
        </w:rPr>
        <w:t>学校将</w:t>
      </w:r>
      <w:r>
        <w:rPr>
          <w:rFonts w:hint="eastAsia" w:ascii="仿宋_GB2312" w:hAnsi="仿宋"/>
          <w:kern w:val="2"/>
          <w:sz w:val="32"/>
          <w:szCs w:val="32"/>
        </w:rPr>
        <w:t>总结经验和教训，进一步改进工作，提高财政资源的</w:t>
      </w:r>
      <w:r>
        <w:rPr>
          <w:rFonts w:hint="eastAsia" w:ascii="仿宋_GB2312" w:hAnsi="仿宋"/>
          <w:kern w:val="2"/>
          <w:sz w:val="32"/>
          <w:szCs w:val="32"/>
          <w:lang w:eastAsia="zh-CN"/>
        </w:rPr>
        <w:t>使用</w:t>
      </w:r>
      <w:r>
        <w:rPr>
          <w:rFonts w:hint="eastAsia" w:ascii="仿宋_GB2312" w:hAnsi="仿宋"/>
          <w:kern w:val="2"/>
          <w:sz w:val="32"/>
          <w:szCs w:val="32"/>
        </w:rPr>
        <w:t>效率。</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
          <w:kern w:val="2"/>
          <w:sz w:val="32"/>
          <w:szCs w:val="32"/>
        </w:rPr>
      </w:pPr>
      <w:r>
        <w:rPr>
          <w:rFonts w:hint="eastAsia" w:ascii="仿宋_GB2312" w:hAnsi="仿宋"/>
          <w:kern w:val="2"/>
          <w:sz w:val="32"/>
          <w:szCs w:val="32"/>
        </w:rPr>
        <w:t>（</w:t>
      </w:r>
      <w:r>
        <w:rPr>
          <w:rFonts w:hint="eastAsia" w:ascii="仿宋_GB2312" w:hAnsi="仿宋"/>
          <w:kern w:val="2"/>
          <w:sz w:val="32"/>
          <w:szCs w:val="32"/>
          <w:lang w:eastAsia="zh-CN"/>
        </w:rPr>
        <w:t>二</w:t>
      </w:r>
      <w:r>
        <w:rPr>
          <w:rFonts w:hint="eastAsia" w:ascii="仿宋_GB2312" w:hAnsi="仿宋"/>
          <w:kern w:val="2"/>
          <w:sz w:val="32"/>
          <w:szCs w:val="32"/>
        </w:rPr>
        <w:t>）对绩效评价结果中存在的问题，</w:t>
      </w:r>
      <w:r>
        <w:rPr>
          <w:rFonts w:hint="eastAsia" w:ascii="仿宋_GB2312" w:hAnsi="仿宋"/>
          <w:kern w:val="2"/>
          <w:sz w:val="32"/>
          <w:szCs w:val="32"/>
          <w:lang w:eastAsia="zh-CN"/>
        </w:rPr>
        <w:t>学校将</w:t>
      </w:r>
      <w:r>
        <w:rPr>
          <w:rFonts w:hint="eastAsia" w:ascii="仿宋_GB2312" w:hAnsi="仿宋"/>
          <w:kern w:val="2"/>
          <w:sz w:val="32"/>
          <w:szCs w:val="32"/>
        </w:rPr>
        <w:t>督促落实整改措施，及时督促调整工作计划、绩效目标，加强项目财务管理，提高资金使用效益；对绩效评价中发现的各种违法、违规问题依法处理，严肃财经纪律，确保财政资金的有效使用。</w:t>
      </w:r>
    </w:p>
    <w:p>
      <w:pPr>
        <w:pStyle w:val="7"/>
        <w:widowControl w:val="0"/>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 w:eastAsia="仿宋_GB2312"/>
          <w:kern w:val="2"/>
          <w:sz w:val="32"/>
          <w:szCs w:val="32"/>
          <w:lang w:eastAsia="zh-CN"/>
        </w:rPr>
      </w:pPr>
      <w:r>
        <w:rPr>
          <w:rFonts w:hint="eastAsia" w:ascii="仿宋_GB2312" w:hAnsi="仿宋"/>
          <w:kern w:val="2"/>
          <w:sz w:val="32"/>
          <w:szCs w:val="32"/>
          <w:lang w:eastAsia="zh-CN"/>
        </w:rPr>
        <w:t>（三）部门整体支出绩效自评结果将在学校官网上进行公开公示，接受广大师生和社会的监督。</w:t>
      </w:r>
    </w:p>
    <w:p>
      <w:pPr>
        <w:pStyle w:val="7"/>
        <w:widowControl w:val="0"/>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ascii="仿宋_GB2312" w:hAnsi="仿宋"/>
          <w:kern w:val="2"/>
          <w:sz w:val="32"/>
          <w:szCs w:val="32"/>
        </w:rPr>
      </w:pPr>
    </w:p>
    <w:p>
      <w:pPr>
        <w:pStyle w:val="7"/>
        <w:widowControl w:val="0"/>
        <w:shd w:val="clear" w:color="auto" w:fill="FFFFFF"/>
        <w:wordWrap/>
        <w:adjustRightInd/>
        <w:snapToGrid/>
        <w:spacing w:before="0" w:beforeAutospacing="0" w:after="0" w:afterAutospacing="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2020年度部门整体支出绩效评价基础数据表　　　　　　　　　　　　　　　　　　　　　　　　　　　　　　　　　　　　　　　　　　　　　　　　　　　　　　　　　　　　　　　　　　　　　　　　　　　　　　　　　　　　　　　　　　　　　　　　　　　　　　　　　　　　　　　　　　　　　　　　　　　　　　　　　　　　　　　　　　　　　　　　　　　　　　</w:t>
      </w:r>
    </w:p>
    <w:p>
      <w:pPr>
        <w:pStyle w:val="7"/>
        <w:widowControl w:val="0"/>
        <w:shd w:val="clear" w:color="auto" w:fill="FFFFFF"/>
        <w:wordWrap/>
        <w:adjustRightInd/>
        <w:snapToGrid/>
        <w:spacing w:before="0" w:beforeAutospacing="0" w:after="0" w:afterAutospacing="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2020年度部门整体支出绩效自评表</w:t>
      </w:r>
    </w:p>
    <w:p>
      <w:pPr>
        <w:pStyle w:val="7"/>
        <w:widowControl w:val="0"/>
        <w:shd w:val="clear" w:color="auto" w:fill="FFFFFF"/>
        <w:wordWrap/>
        <w:adjustRightInd/>
        <w:snapToGrid/>
        <w:spacing w:before="0" w:beforeAutospacing="0" w:after="0" w:afterAutospacing="0" w:line="450" w:lineRule="atLeast"/>
        <w:ind w:right="0"/>
        <w:textAlignment w:val="auto"/>
        <w:outlineLvl w:val="9"/>
        <w:rPr>
          <w:rFonts w:ascii="仿宋_GB2312" w:hAnsi="仿宋"/>
          <w:kern w:val="2"/>
          <w:sz w:val="32"/>
          <w:szCs w:val="32"/>
        </w:rPr>
      </w:pPr>
      <w:r>
        <w:rPr>
          <w:rFonts w:hint="eastAsia"/>
        </w:rPr>
        <w:t>　　　　　　　　　　　　　　　　　　　　　　　　　　　　　　　　　　　　　　　　　　　　　　　　　　　　　　　　　　　　　　　　　　　　　　　　　　　　　　　　　　　　　　　　　　　　　　　　　　　　　　　　　　　　　　　　　　　　　　　　　　　　　　　　　　　　　　　　　　　　　　　　　　　　　　　</w:t>
      </w:r>
    </w:p>
    <w:p>
      <w:pPr>
        <w:pStyle w:val="7"/>
        <w:widowControl w:val="0"/>
        <w:shd w:val="clear" w:color="auto" w:fill="FFFFFF"/>
        <w:wordWrap/>
        <w:adjustRightInd/>
        <w:snapToGrid/>
        <w:spacing w:before="0" w:beforeAutospacing="0" w:after="0" w:afterAutospacing="0" w:line="450" w:lineRule="atLeast"/>
        <w:ind w:right="0"/>
        <w:textAlignment w:val="auto"/>
        <w:outlineLvl w:val="9"/>
        <w:rPr>
          <w:rFonts w:ascii="仿宋_GB2312" w:hAnsi="仿宋"/>
          <w:kern w:val="2"/>
          <w:sz w:val="32"/>
          <w:szCs w:val="32"/>
        </w:rPr>
      </w:pPr>
    </w:p>
    <w:p>
      <w:pPr>
        <w:pStyle w:val="7"/>
        <w:widowControl w:val="0"/>
        <w:shd w:val="clear" w:color="auto" w:fill="FFFFFF"/>
        <w:wordWrap/>
        <w:adjustRightInd/>
        <w:snapToGrid/>
        <w:spacing w:before="0" w:beforeAutospacing="0" w:after="0" w:afterAutospacing="0" w:line="450" w:lineRule="atLeast"/>
        <w:ind w:right="0"/>
        <w:textAlignment w:val="auto"/>
        <w:outlineLvl w:val="9"/>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pStyle w:val="7"/>
        <w:widowControl/>
        <w:shd w:val="clear" w:color="auto" w:fill="FFFFFF"/>
        <w:spacing w:beforeAutospacing="0" w:afterAutospacing="0" w:line="450" w:lineRule="atLeast"/>
        <w:rPr>
          <w:rFonts w:ascii="仿宋_GB2312" w:hAnsi="仿宋"/>
          <w:kern w:val="2"/>
          <w:sz w:val="32"/>
          <w:szCs w:val="32"/>
        </w:rPr>
      </w:pPr>
    </w:p>
    <w:p>
      <w:pPr>
        <w:widowControl/>
        <w:spacing w:line="400" w:lineRule="exact"/>
        <w:ind w:left="-1" w:leftChars="-134" w:hanging="428" w:hangingChars="134"/>
        <w:jc w:val="left"/>
        <w:rPr>
          <w:rFonts w:ascii="黑体" w:hAnsi="黑体" w:eastAsia="黑体"/>
          <w:szCs w:val="32"/>
        </w:rPr>
      </w:pPr>
      <w:r>
        <w:rPr>
          <w:rFonts w:hint="eastAsia" w:ascii="黑体" w:hAnsi="黑体" w:eastAsia="黑体"/>
          <w:szCs w:val="32"/>
        </w:rPr>
        <w:t>附件</w:t>
      </w:r>
      <w:r>
        <w:rPr>
          <w:rFonts w:ascii="黑体" w:hAnsi="黑体" w:eastAsia="黑体"/>
          <w:szCs w:val="32"/>
        </w:rPr>
        <w:t>1</w:t>
      </w:r>
    </w:p>
    <w:p>
      <w:pPr>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t>2020</w:t>
      </w:r>
      <w:r>
        <w:rPr>
          <w:rFonts w:hint="eastAsia" w:ascii="方正小标宋简体" w:eastAsia="方正小标宋简体"/>
          <w:kern w:val="0"/>
          <w:sz w:val="36"/>
          <w:szCs w:val="36"/>
        </w:rPr>
        <w:t>年度部门整体支出绩效评价基础数据表</w:t>
      </w:r>
    </w:p>
    <w:tbl>
      <w:tblPr>
        <w:tblStyle w:val="4"/>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3"/>
        <w:gridCol w:w="1043"/>
        <w:gridCol w:w="1151"/>
        <w:gridCol w:w="1177"/>
        <w:gridCol w:w="1040"/>
        <w:gridCol w:w="1040"/>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财政供养人员情况（人）</w:t>
            </w:r>
          </w:p>
        </w:tc>
        <w:tc>
          <w:tcPr>
            <w:tcW w:w="219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hint="eastAsia" w:ascii="Times New Roman" w:hAnsi="Times New Roman"/>
                <w:b/>
                <w:bCs/>
                <w:kern w:val="0"/>
                <w:sz w:val="21"/>
                <w:szCs w:val="21"/>
              </w:rPr>
              <w:t>编制数</w:t>
            </w:r>
          </w:p>
        </w:tc>
        <w:tc>
          <w:tcPr>
            <w:tcW w:w="221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w:t>
            </w:r>
            <w:r>
              <w:rPr>
                <w:rFonts w:hint="eastAsia" w:ascii="Times New Roman" w:hAnsi="Times New Roman"/>
                <w:b/>
                <w:bCs/>
                <w:kern w:val="0"/>
                <w:sz w:val="21"/>
                <w:szCs w:val="21"/>
              </w:rPr>
              <w:t>年实际在职人数</w:t>
            </w:r>
          </w:p>
        </w:tc>
        <w:tc>
          <w:tcPr>
            <w:tcW w:w="200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hint="eastAsia" w:ascii="Times New Roman" w:hAnsi="Times New Roman"/>
                <w:b/>
                <w:bCs/>
                <w:kern w:val="0"/>
                <w:sz w:val="21"/>
                <w:szCs w:val="21"/>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219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360</w:t>
            </w: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r>
              <w:rPr>
                <w:rFonts w:ascii="Times New Roman" w:hAnsi="Times New Roman"/>
                <w:kern w:val="0"/>
                <w:sz w:val="21"/>
                <w:szCs w:val="21"/>
              </w:rPr>
              <w:t>323</w:t>
            </w:r>
          </w:p>
        </w:tc>
        <w:tc>
          <w:tcPr>
            <w:tcW w:w="200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89.7%</w:t>
            </w: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经费控制情况（万元）</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2019</w:t>
            </w:r>
            <w:r>
              <w:rPr>
                <w:rFonts w:hint="eastAsia" w:ascii="Times New Roman" w:hAnsi="Times New Roman"/>
                <w:b/>
                <w:bCs/>
                <w:kern w:val="0"/>
                <w:sz w:val="21"/>
                <w:szCs w:val="21"/>
              </w:rPr>
              <w:t>年决算数</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w:t>
            </w:r>
            <w:r>
              <w:rPr>
                <w:rFonts w:hint="eastAsia" w:ascii="Times New Roman" w:hAnsi="Times New Roman"/>
                <w:b/>
                <w:bCs/>
                <w:kern w:val="0"/>
                <w:sz w:val="21"/>
                <w:szCs w:val="21"/>
              </w:rPr>
              <w:t>年预算数</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w:t>
            </w:r>
            <w:r>
              <w:rPr>
                <w:rFonts w:hint="eastAsia" w:ascii="Times New Roman" w:hAnsi="Times New Roman"/>
                <w:b/>
                <w:bCs/>
                <w:kern w:val="0"/>
                <w:sz w:val="21"/>
                <w:szCs w:val="21"/>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三公经费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1</w:t>
            </w:r>
            <w:r>
              <w:rPr>
                <w:rFonts w:hint="eastAsia" w:ascii="Times New Roman" w:hAnsi="Times New Roman"/>
                <w:kern w:val="0"/>
                <w:sz w:val="21"/>
                <w:szCs w:val="21"/>
              </w:rPr>
              <w:t>、公务用车购置和维护经费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其中：公车购置</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公车运行维护</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2</w:t>
            </w:r>
            <w:r>
              <w:rPr>
                <w:rFonts w:hint="eastAsia" w:ascii="Times New Roman" w:hAnsi="Times New Roman"/>
                <w:kern w:val="0"/>
                <w:sz w:val="21"/>
                <w:szCs w:val="21"/>
              </w:rPr>
              <w:t>、出国经费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3</w:t>
            </w:r>
            <w:r>
              <w:rPr>
                <w:rFonts w:hint="eastAsia" w:ascii="Times New Roman" w:hAnsi="Times New Roman"/>
                <w:kern w:val="0"/>
                <w:sz w:val="21"/>
                <w:szCs w:val="21"/>
              </w:rPr>
              <w:t>、公务接待</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r>
              <w:rPr>
                <w:rFonts w:ascii="Times New Roman" w:hAnsi="Times New Roman"/>
                <w:kern w:val="0"/>
                <w:sz w:val="21"/>
                <w:szCs w:val="21"/>
              </w:rPr>
              <w:t>14.41</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r>
              <w:rPr>
                <w:rFonts w:ascii="Times New Roman" w:hAnsi="Times New Roman"/>
                <w:kern w:val="0"/>
                <w:sz w:val="21"/>
                <w:szCs w:val="21"/>
              </w:rPr>
              <w:t>18</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18</w:t>
            </w: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项目支出：</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1</w:t>
            </w:r>
            <w:r>
              <w:rPr>
                <w:rFonts w:hint="eastAsia" w:ascii="Times New Roman" w:hAnsi="Times New Roman"/>
                <w:kern w:val="0"/>
                <w:sz w:val="21"/>
                <w:szCs w:val="21"/>
              </w:rPr>
              <w:t>、业务工作经费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3216</w:t>
            </w: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rPr>
              <w:t>　</w:t>
            </w:r>
            <w:r>
              <w:rPr>
                <w:rFonts w:hint="eastAsia" w:ascii="Times New Roman" w:hAnsi="Times New Roman"/>
                <w:kern w:val="0"/>
                <w:sz w:val="21"/>
                <w:szCs w:val="21"/>
                <w:lang w:val="en-US" w:eastAsia="zh-CN"/>
              </w:rPr>
              <w:t>2993</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val="en-US" w:eastAsia="zh-CN"/>
              </w:rPr>
              <w:t>2993</w:t>
            </w: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2</w:t>
            </w:r>
            <w:r>
              <w:rPr>
                <w:rFonts w:hint="eastAsia" w:ascii="Times New Roman" w:hAnsi="Times New Roman"/>
                <w:kern w:val="0"/>
                <w:sz w:val="21"/>
                <w:szCs w:val="21"/>
              </w:rPr>
              <w:t>、运行维护经费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r>
              <w:rPr>
                <w:rFonts w:ascii="Times New Roman" w:hAnsi="Times New Roman"/>
                <w:kern w:val="0"/>
                <w:sz w:val="21"/>
                <w:szCs w:val="21"/>
              </w:rPr>
              <w:t>2208.7</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rPr>
              <w:t>　</w:t>
            </w:r>
            <w:r>
              <w:rPr>
                <w:rFonts w:hint="eastAsia" w:ascii="Times New Roman" w:hAnsi="Times New Roman"/>
                <w:kern w:val="0"/>
                <w:sz w:val="21"/>
                <w:szCs w:val="21"/>
                <w:lang w:val="en-US" w:eastAsia="zh-CN"/>
              </w:rPr>
              <w:t>1199.22</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val="en-US" w:eastAsia="zh-CN"/>
              </w:rPr>
              <w:t>1199.22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、市级专项资金（一个专项一行）</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公用经费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其中：办公经费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auto"/>
                <w:kern w:val="0"/>
                <w:sz w:val="21"/>
                <w:szCs w:val="21"/>
              </w:rPr>
            </w:pPr>
            <w:r>
              <w:rPr>
                <w:rFonts w:ascii="Times New Roman" w:hAnsi="Times New Roman"/>
                <w:color w:val="auto"/>
                <w:kern w:val="0"/>
                <w:sz w:val="21"/>
                <w:szCs w:val="21"/>
              </w:rPr>
              <w:t>25.75</w:t>
            </w:r>
            <w:r>
              <w:rPr>
                <w:rFonts w:hint="eastAsia" w:ascii="Times New Roman" w:hAnsi="Times New Roman"/>
                <w:color w:val="auto"/>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auto"/>
                <w:kern w:val="0"/>
                <w:sz w:val="21"/>
                <w:szCs w:val="21"/>
                <w:lang w:val="en-US" w:eastAsia="zh-CN"/>
              </w:rPr>
            </w:pPr>
            <w:r>
              <w:rPr>
                <w:rFonts w:hint="eastAsia" w:ascii="Times New Roman" w:hAnsi="Times New Roman"/>
                <w:color w:val="auto"/>
                <w:kern w:val="0"/>
                <w:sz w:val="21"/>
                <w:szCs w:val="21"/>
                <w:lang w:val="en-US" w:eastAsia="zh-CN"/>
              </w:rPr>
              <w:t>25.75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水费、电费、差旅费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 xml:space="preserve">          </w:t>
            </w:r>
            <w:r>
              <w:rPr>
                <w:rFonts w:hint="eastAsia" w:ascii="Times New Roman" w:hAnsi="Times New Roman"/>
                <w:kern w:val="0"/>
                <w:sz w:val="21"/>
                <w:szCs w:val="21"/>
              </w:rPr>
              <w:t>会议费、培训费</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FF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政府采购金额</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hint="eastAsia" w:ascii="Times New Roman" w:hAnsi="Times New Roman"/>
                <w:kern w:val="0"/>
                <w:sz w:val="21"/>
                <w:szCs w:val="21"/>
              </w:rPr>
              <w:t>部门基本支出预算调整</w:t>
            </w:r>
            <w:r>
              <w:rPr>
                <w:rFonts w:ascii="Times New Roman" w:hAnsi="Times New Roman"/>
                <w:kern w:val="0"/>
                <w:sz w:val="21"/>
                <w:szCs w:val="21"/>
              </w:rPr>
              <w:t xml:space="preserve"> </w:t>
            </w:r>
          </w:p>
        </w:tc>
        <w:tc>
          <w:tcPr>
            <w:tcW w:w="219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w:t>
            </w:r>
          </w:p>
        </w:tc>
        <w:tc>
          <w:tcPr>
            <w:tcW w:w="221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c>
          <w:tcPr>
            <w:tcW w:w="200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318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楼堂馆所控制情况</w:t>
            </w:r>
            <w:r>
              <w:rPr>
                <w:rFonts w:ascii="Times New Roman" w:hAnsi="Times New Roman"/>
                <w:kern w:val="0"/>
                <w:sz w:val="21"/>
                <w:szCs w:val="21"/>
              </w:rPr>
              <w:br w:type="textWrapping"/>
            </w:r>
            <w:r>
              <w:rPr>
                <w:rFonts w:hint="eastAsia" w:ascii="Times New Roman" w:hAnsi="Times New Roman"/>
                <w:kern w:val="0"/>
                <w:sz w:val="21"/>
                <w:szCs w:val="21"/>
              </w:rPr>
              <w:t>（</w:t>
            </w:r>
            <w:r>
              <w:rPr>
                <w:rFonts w:ascii="Times New Roman" w:hAnsi="Times New Roman"/>
                <w:kern w:val="0"/>
                <w:sz w:val="21"/>
                <w:szCs w:val="21"/>
              </w:rPr>
              <w:t>2020</w:t>
            </w:r>
            <w:r>
              <w:rPr>
                <w:rFonts w:hint="eastAsia" w:ascii="Times New Roman" w:hAnsi="Times New Roman"/>
                <w:kern w:val="0"/>
                <w:sz w:val="21"/>
                <w:szCs w:val="21"/>
              </w:rPr>
              <w:t>年完工项目）</w:t>
            </w: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批复规模</w:t>
            </w:r>
            <w:r>
              <w:rPr>
                <w:rFonts w:ascii="Times New Roman" w:hAnsi="Times New Roman"/>
                <w:kern w:val="0"/>
                <w:sz w:val="21"/>
                <w:szCs w:val="21"/>
              </w:rPr>
              <w:br w:type="textWrapping"/>
            </w:r>
            <w:r>
              <w:rPr>
                <w:rFonts w:hint="eastAsia" w:ascii="Times New Roman" w:hAnsi="Times New Roman"/>
                <w:kern w:val="0"/>
                <w:sz w:val="21"/>
                <w:szCs w:val="21"/>
              </w:rPr>
              <w:t>（㎡）</w:t>
            </w:r>
          </w:p>
        </w:tc>
        <w:tc>
          <w:tcPr>
            <w:tcW w:w="11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实际规模（㎡）</w:t>
            </w:r>
          </w:p>
        </w:tc>
        <w:tc>
          <w:tcPr>
            <w:tcW w:w="11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规模控制率</w:t>
            </w:r>
          </w:p>
        </w:tc>
        <w:tc>
          <w:tcPr>
            <w:tcW w:w="10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预算投资（万元）</w:t>
            </w:r>
          </w:p>
        </w:tc>
        <w:tc>
          <w:tcPr>
            <w:tcW w:w="104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实际投资（万元）</w:t>
            </w:r>
          </w:p>
        </w:tc>
        <w:tc>
          <w:tcPr>
            <w:tcW w:w="96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p>
        </w:tc>
        <w:tc>
          <w:tcPr>
            <w:tcW w:w="1151"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1177"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1040"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104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kern w:val="0"/>
                <w:sz w:val="21"/>
                <w:szCs w:val="21"/>
                <w:lang w:val="en-US" w:eastAsia="zh-CN"/>
              </w:rPr>
            </w:pP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8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厉行节约保障措施</w:t>
            </w:r>
          </w:p>
        </w:tc>
        <w:tc>
          <w:tcPr>
            <w:tcW w:w="6417"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　</w:t>
            </w:r>
          </w:p>
        </w:tc>
      </w:tr>
    </w:tbl>
    <w:p>
      <w:pPr>
        <w:widowControl/>
        <w:spacing w:line="300" w:lineRule="exact"/>
        <w:jc w:val="left"/>
        <w:rPr>
          <w:kern w:val="0"/>
          <w:sz w:val="22"/>
          <w:szCs w:val="24"/>
        </w:rPr>
      </w:pPr>
      <w:r>
        <w:rPr>
          <w:rFonts w:hint="eastAsia"/>
          <w:kern w:val="0"/>
          <w:sz w:val="22"/>
          <w:szCs w:val="24"/>
        </w:rPr>
        <w:t>说明：</w:t>
      </w:r>
      <w:r>
        <w:rPr>
          <w:kern w:val="0"/>
          <w:sz w:val="22"/>
          <w:szCs w:val="24"/>
        </w:rPr>
        <w:t>“</w:t>
      </w:r>
      <w:r>
        <w:rPr>
          <w:rFonts w:hint="eastAsia"/>
          <w:kern w:val="0"/>
          <w:sz w:val="22"/>
          <w:szCs w:val="24"/>
        </w:rPr>
        <w:t>项目支出</w:t>
      </w:r>
      <w:r>
        <w:rPr>
          <w:kern w:val="0"/>
          <w:sz w:val="22"/>
          <w:szCs w:val="24"/>
        </w:rPr>
        <w:t>”</w:t>
      </w:r>
      <w:r>
        <w:rPr>
          <w:rFonts w:hint="eastAsia"/>
          <w:kern w:val="0"/>
          <w:sz w:val="22"/>
          <w:szCs w:val="24"/>
        </w:rPr>
        <w:t>需要填报基本支出以外的所有项目支出情况，</w:t>
      </w:r>
      <w:r>
        <w:rPr>
          <w:kern w:val="0"/>
          <w:sz w:val="22"/>
          <w:szCs w:val="24"/>
        </w:rPr>
        <w:t>“</w:t>
      </w:r>
      <w:r>
        <w:rPr>
          <w:rFonts w:hint="eastAsia"/>
          <w:kern w:val="0"/>
          <w:sz w:val="22"/>
          <w:szCs w:val="24"/>
        </w:rPr>
        <w:t>公用经费</w:t>
      </w:r>
      <w:r>
        <w:rPr>
          <w:kern w:val="0"/>
          <w:sz w:val="22"/>
          <w:szCs w:val="24"/>
        </w:rPr>
        <w:t>”</w:t>
      </w:r>
      <w:r>
        <w:rPr>
          <w:rFonts w:hint="eastAsia"/>
          <w:kern w:val="0"/>
          <w:sz w:val="22"/>
          <w:szCs w:val="24"/>
        </w:rPr>
        <w:t>填报基本支出中的一般商品和服务支出。</w:t>
      </w:r>
    </w:p>
    <w:p>
      <w:pPr>
        <w:widowControl/>
        <w:spacing w:line="500" w:lineRule="exact"/>
        <w:ind w:left="-321" w:leftChars="-108" w:hanging="25" w:hangingChars="12"/>
        <w:jc w:val="center"/>
        <w:rPr>
          <w:rFonts w:ascii="方正小标宋简体" w:eastAsia="方正小标宋简体"/>
          <w:kern w:val="0"/>
          <w:sz w:val="36"/>
          <w:szCs w:val="36"/>
        </w:rPr>
      </w:pPr>
      <w:r>
        <w:rPr>
          <w:rFonts w:hint="eastAsia"/>
          <w:kern w:val="0"/>
          <w:sz w:val="21"/>
          <w:szCs w:val="21"/>
        </w:rPr>
        <w:t>填表人：</w:t>
      </w:r>
      <w:r>
        <w:rPr>
          <w:rFonts w:hint="eastAsia"/>
          <w:kern w:val="0"/>
          <w:sz w:val="21"/>
          <w:szCs w:val="21"/>
          <w:lang w:eastAsia="zh-CN"/>
        </w:rPr>
        <w:t>高灵芝　</w:t>
      </w:r>
      <w:r>
        <w:rPr>
          <w:kern w:val="0"/>
          <w:sz w:val="21"/>
          <w:szCs w:val="21"/>
        </w:rPr>
        <w:t xml:space="preserve"> </w:t>
      </w:r>
      <w:r>
        <w:rPr>
          <w:rFonts w:hint="eastAsia"/>
          <w:kern w:val="0"/>
          <w:sz w:val="21"/>
          <w:szCs w:val="21"/>
        </w:rPr>
        <w:t>填报日期：</w:t>
      </w:r>
      <w:r>
        <w:rPr>
          <w:rFonts w:hint="eastAsia"/>
          <w:kern w:val="0"/>
          <w:sz w:val="21"/>
          <w:szCs w:val="21"/>
          <w:lang w:val="en-US" w:eastAsia="zh-CN"/>
        </w:rPr>
        <w:t>2021.04.01</w:t>
      </w:r>
      <w:r>
        <w:rPr>
          <w:kern w:val="0"/>
          <w:sz w:val="21"/>
          <w:szCs w:val="21"/>
        </w:rPr>
        <w:t xml:space="preserve">  </w:t>
      </w:r>
      <w:r>
        <w:rPr>
          <w:rFonts w:hint="eastAsia"/>
          <w:kern w:val="0"/>
          <w:sz w:val="21"/>
          <w:szCs w:val="21"/>
        </w:rPr>
        <w:t>联系电话：</w:t>
      </w:r>
      <w:r>
        <w:rPr>
          <w:rFonts w:hint="eastAsia"/>
          <w:kern w:val="0"/>
          <w:sz w:val="21"/>
          <w:szCs w:val="21"/>
          <w:lang w:val="en-US" w:eastAsia="zh-CN"/>
        </w:rPr>
        <w:t>13873790660</w:t>
      </w:r>
      <w:r>
        <w:rPr>
          <w:kern w:val="0"/>
          <w:sz w:val="21"/>
          <w:szCs w:val="21"/>
        </w:rPr>
        <w:t xml:space="preserve"> </w:t>
      </w:r>
      <w:r>
        <w:rPr>
          <w:rFonts w:hint="eastAsia"/>
          <w:kern w:val="0"/>
          <w:sz w:val="21"/>
          <w:szCs w:val="21"/>
          <w:lang w:eastAsia="zh-CN"/>
        </w:rPr>
        <w:t>　</w:t>
      </w:r>
      <w:r>
        <w:rPr>
          <w:rFonts w:hint="eastAsia"/>
          <w:kern w:val="0"/>
          <w:sz w:val="21"/>
          <w:szCs w:val="21"/>
        </w:rPr>
        <w:t>单位负责人签字：</w:t>
      </w:r>
      <w:r>
        <w:rPr>
          <w:kern w:val="0"/>
          <w:sz w:val="22"/>
          <w:szCs w:val="24"/>
        </w:rPr>
        <w:br w:type="page"/>
      </w:r>
      <w:r>
        <w:rPr>
          <w:rFonts w:ascii="方正小标宋简体" w:eastAsia="方正小标宋简体"/>
          <w:kern w:val="0"/>
          <w:sz w:val="36"/>
          <w:szCs w:val="36"/>
        </w:rPr>
        <w:t>2020</w:t>
      </w:r>
      <w:r>
        <w:rPr>
          <w:rFonts w:hint="eastAsia" w:ascii="方正小标宋简体" w:eastAsia="方正小标宋简体"/>
          <w:kern w:val="0"/>
          <w:sz w:val="36"/>
          <w:szCs w:val="36"/>
        </w:rPr>
        <w:t>年度部门整体支出绩效自评表</w:t>
      </w:r>
    </w:p>
    <w:tbl>
      <w:tblPr>
        <w:tblStyle w:val="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076"/>
        <w:gridCol w:w="842"/>
        <w:gridCol w:w="218"/>
        <w:gridCol w:w="1142"/>
        <w:gridCol w:w="416"/>
        <w:gridCol w:w="1080"/>
        <w:gridCol w:w="1067"/>
        <w:gridCol w:w="706"/>
        <w:gridCol w:w="98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6" w:type="dxa"/>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预算部门</w:t>
            </w:r>
          </w:p>
        </w:tc>
        <w:tc>
          <w:tcPr>
            <w:tcW w:w="8884" w:type="dxa"/>
            <w:gridSpan w:val="10"/>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益阳医学高等专科学校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restart"/>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年度预</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算申请</w:t>
            </w:r>
            <w:r>
              <w:rPr>
                <w:rFonts w:ascii="Times New Roman" w:hAnsi="Times New Roman"/>
                <w:color w:val="000000"/>
                <w:kern w:val="0"/>
                <w:sz w:val="21"/>
                <w:szCs w:val="21"/>
              </w:rPr>
              <w:br w:type="textWrapping"/>
            </w:r>
            <w:r>
              <w:rPr>
                <w:rFonts w:hint="eastAsia" w:ascii="Times New Roman" w:hAnsi="Times New Roman"/>
                <w:color w:val="000000"/>
                <w:kern w:val="0"/>
                <w:sz w:val="21"/>
                <w:szCs w:val="21"/>
              </w:rPr>
              <w:t>（万元）</w:t>
            </w:r>
          </w:p>
        </w:tc>
        <w:tc>
          <w:tcPr>
            <w:tcW w:w="1918" w:type="dxa"/>
            <w:gridSpan w:val="2"/>
            <w:vAlign w:val="center"/>
          </w:tcPr>
          <w:p>
            <w:pPr>
              <w:spacing w:line="240" w:lineRule="exact"/>
              <w:jc w:val="center"/>
              <w:rPr>
                <w:rFonts w:ascii="Times New Roman" w:hAnsi="Times New Roman"/>
                <w:sz w:val="21"/>
                <w:szCs w:val="21"/>
              </w:rPr>
            </w:pPr>
          </w:p>
        </w:tc>
        <w:tc>
          <w:tcPr>
            <w:tcW w:w="1360" w:type="dxa"/>
            <w:gridSpan w:val="2"/>
            <w:vAlign w:val="center"/>
          </w:tcPr>
          <w:p>
            <w:pPr>
              <w:spacing w:line="240" w:lineRule="exact"/>
              <w:jc w:val="center"/>
              <w:rPr>
                <w:rFonts w:ascii="Times New Roman" w:hAnsi="Times New Roman"/>
                <w:sz w:val="21"/>
                <w:szCs w:val="21"/>
              </w:rPr>
            </w:pPr>
            <w:r>
              <w:rPr>
                <w:rFonts w:hint="eastAsia" w:ascii="Times New Roman" w:hAnsi="Times New Roman"/>
                <w:sz w:val="21"/>
                <w:szCs w:val="21"/>
              </w:rPr>
              <w:t>年初</w:t>
            </w:r>
          </w:p>
          <w:p>
            <w:pPr>
              <w:spacing w:line="240" w:lineRule="exact"/>
              <w:jc w:val="center"/>
              <w:rPr>
                <w:rFonts w:ascii="Times New Roman" w:hAnsi="Times New Roman"/>
                <w:sz w:val="21"/>
                <w:szCs w:val="21"/>
              </w:rPr>
            </w:pPr>
            <w:r>
              <w:rPr>
                <w:rFonts w:hint="eastAsia" w:ascii="Times New Roman" w:hAnsi="Times New Roman"/>
                <w:sz w:val="21"/>
                <w:szCs w:val="21"/>
              </w:rPr>
              <w:t>预算数</w:t>
            </w:r>
          </w:p>
        </w:tc>
        <w:tc>
          <w:tcPr>
            <w:tcW w:w="1496" w:type="dxa"/>
            <w:gridSpan w:val="2"/>
            <w:vAlign w:val="center"/>
          </w:tcPr>
          <w:p>
            <w:pPr>
              <w:spacing w:line="240" w:lineRule="exact"/>
              <w:jc w:val="center"/>
              <w:rPr>
                <w:rFonts w:ascii="Times New Roman" w:hAnsi="Times New Roman"/>
                <w:sz w:val="21"/>
                <w:szCs w:val="21"/>
              </w:rPr>
            </w:pPr>
            <w:r>
              <w:rPr>
                <w:rFonts w:hint="eastAsia" w:ascii="Times New Roman" w:hAnsi="Times New Roman"/>
                <w:sz w:val="21"/>
                <w:szCs w:val="21"/>
              </w:rPr>
              <w:t>全年预算数</w:t>
            </w:r>
          </w:p>
        </w:tc>
        <w:tc>
          <w:tcPr>
            <w:tcW w:w="1067" w:type="dxa"/>
            <w:vAlign w:val="center"/>
          </w:tcPr>
          <w:p>
            <w:pPr>
              <w:spacing w:line="240" w:lineRule="exact"/>
              <w:jc w:val="center"/>
              <w:rPr>
                <w:rFonts w:ascii="Times New Roman" w:hAnsi="Times New Roman"/>
                <w:sz w:val="21"/>
                <w:szCs w:val="21"/>
              </w:rPr>
            </w:pPr>
            <w:r>
              <w:rPr>
                <w:rFonts w:hint="eastAsia" w:ascii="Times New Roman" w:hAnsi="Times New Roman"/>
                <w:sz w:val="21"/>
                <w:szCs w:val="21"/>
              </w:rPr>
              <w:t>全年执行数</w:t>
            </w:r>
          </w:p>
        </w:tc>
        <w:tc>
          <w:tcPr>
            <w:tcW w:w="706" w:type="dxa"/>
            <w:vAlign w:val="center"/>
          </w:tcPr>
          <w:p>
            <w:pPr>
              <w:spacing w:line="240" w:lineRule="exact"/>
              <w:jc w:val="center"/>
              <w:rPr>
                <w:rFonts w:ascii="Times New Roman" w:hAnsi="Times New Roman"/>
                <w:sz w:val="21"/>
                <w:szCs w:val="21"/>
              </w:rPr>
            </w:pPr>
            <w:r>
              <w:rPr>
                <w:rFonts w:hint="eastAsia" w:ascii="Times New Roman" w:hAnsi="Times New Roman"/>
                <w:sz w:val="21"/>
                <w:szCs w:val="21"/>
              </w:rPr>
              <w:t>分值</w:t>
            </w:r>
          </w:p>
        </w:tc>
        <w:tc>
          <w:tcPr>
            <w:tcW w:w="989" w:type="dxa"/>
            <w:vAlign w:val="center"/>
          </w:tcPr>
          <w:p>
            <w:pPr>
              <w:spacing w:line="240" w:lineRule="exact"/>
              <w:jc w:val="center"/>
              <w:rPr>
                <w:rFonts w:ascii="Times New Roman" w:hAnsi="Times New Roman"/>
                <w:sz w:val="21"/>
                <w:szCs w:val="21"/>
              </w:rPr>
            </w:pPr>
            <w:r>
              <w:rPr>
                <w:rFonts w:hint="eastAsia" w:ascii="Times New Roman" w:hAnsi="Times New Roman"/>
                <w:sz w:val="21"/>
                <w:szCs w:val="21"/>
              </w:rPr>
              <w:t>执行率</w:t>
            </w:r>
          </w:p>
        </w:tc>
        <w:tc>
          <w:tcPr>
            <w:tcW w:w="1348" w:type="dxa"/>
            <w:vAlign w:val="center"/>
          </w:tcPr>
          <w:p>
            <w:pPr>
              <w:spacing w:line="240" w:lineRule="exact"/>
              <w:jc w:val="center"/>
              <w:rPr>
                <w:rFonts w:ascii="Times New Roman" w:hAnsi="Times New Roman"/>
                <w:sz w:val="21"/>
                <w:szCs w:val="21"/>
              </w:rPr>
            </w:pPr>
            <w:r>
              <w:rPr>
                <w:rFonts w:hint="eastAsia" w:ascii="Times New Roman" w:hAns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76" w:type="dxa"/>
            <w:vMerge w:val="continue"/>
            <w:vAlign w:val="center"/>
          </w:tcPr>
          <w:p>
            <w:pPr>
              <w:widowControl/>
              <w:spacing w:line="240" w:lineRule="exact"/>
              <w:jc w:val="center"/>
              <w:rPr>
                <w:rFonts w:ascii="Times New Roman" w:hAnsi="Times New Roman"/>
                <w:color w:val="000000"/>
                <w:kern w:val="0"/>
                <w:sz w:val="21"/>
                <w:szCs w:val="21"/>
              </w:rPr>
            </w:pPr>
          </w:p>
        </w:tc>
        <w:tc>
          <w:tcPr>
            <w:tcW w:w="1918" w:type="dxa"/>
            <w:gridSpan w:val="2"/>
            <w:vAlign w:val="center"/>
          </w:tcPr>
          <w:p>
            <w:pPr>
              <w:spacing w:line="240" w:lineRule="exact"/>
              <w:jc w:val="center"/>
              <w:rPr>
                <w:rFonts w:ascii="Times New Roman" w:hAnsi="Times New Roman"/>
                <w:sz w:val="21"/>
                <w:szCs w:val="21"/>
              </w:rPr>
            </w:pPr>
            <w:r>
              <w:rPr>
                <w:rFonts w:hint="eastAsia" w:ascii="Times New Roman" w:hAnsi="Times New Roman"/>
                <w:color w:val="000000"/>
                <w:kern w:val="0"/>
                <w:sz w:val="21"/>
                <w:szCs w:val="21"/>
              </w:rPr>
              <w:t>年度资金总额</w:t>
            </w:r>
          </w:p>
        </w:tc>
        <w:tc>
          <w:tcPr>
            <w:tcW w:w="1360" w:type="dxa"/>
            <w:gridSpan w:val="2"/>
            <w:vAlign w:val="center"/>
          </w:tcPr>
          <w:p>
            <w:pPr>
              <w:spacing w:line="240" w:lineRule="exact"/>
              <w:jc w:val="center"/>
              <w:rPr>
                <w:rFonts w:ascii="Times New Roman" w:hAnsi="Times New Roman"/>
                <w:sz w:val="21"/>
                <w:szCs w:val="21"/>
              </w:rPr>
            </w:pPr>
            <w:r>
              <w:rPr>
                <w:rFonts w:ascii="Times New Roman" w:hAnsi="Times New Roman"/>
                <w:sz w:val="21"/>
                <w:szCs w:val="21"/>
              </w:rPr>
              <w:t>9635.69</w:t>
            </w:r>
          </w:p>
        </w:tc>
        <w:tc>
          <w:tcPr>
            <w:tcW w:w="1496" w:type="dxa"/>
            <w:gridSpan w:val="2"/>
            <w:vAlign w:val="center"/>
          </w:tcPr>
          <w:p>
            <w:pPr>
              <w:spacing w:line="240" w:lineRule="exact"/>
              <w:jc w:val="center"/>
              <w:rPr>
                <w:rFonts w:ascii="Times New Roman" w:hAnsi="Times New Roman"/>
                <w:sz w:val="21"/>
                <w:szCs w:val="21"/>
              </w:rPr>
            </w:pPr>
            <w:r>
              <w:rPr>
                <w:rFonts w:ascii="Times New Roman" w:hAnsi="Times New Roman"/>
                <w:sz w:val="21"/>
                <w:szCs w:val="21"/>
              </w:rPr>
              <w:t>14383</w:t>
            </w:r>
          </w:p>
        </w:tc>
        <w:tc>
          <w:tcPr>
            <w:tcW w:w="1067" w:type="dxa"/>
            <w:vAlign w:val="center"/>
          </w:tcPr>
          <w:p>
            <w:pPr>
              <w:spacing w:line="240" w:lineRule="exact"/>
              <w:jc w:val="center"/>
              <w:rPr>
                <w:rFonts w:ascii="Times New Roman" w:hAnsi="Times New Roman"/>
                <w:sz w:val="21"/>
                <w:szCs w:val="21"/>
              </w:rPr>
            </w:pPr>
            <w:r>
              <w:rPr>
                <w:rFonts w:ascii="Times New Roman" w:hAnsi="Times New Roman"/>
                <w:sz w:val="21"/>
                <w:szCs w:val="21"/>
              </w:rPr>
              <w:t>13992.68</w:t>
            </w:r>
          </w:p>
        </w:tc>
        <w:tc>
          <w:tcPr>
            <w:tcW w:w="706" w:type="dxa"/>
            <w:vAlign w:val="center"/>
          </w:tcPr>
          <w:p>
            <w:pPr>
              <w:spacing w:line="240" w:lineRule="exact"/>
              <w:jc w:val="center"/>
              <w:rPr>
                <w:rFonts w:ascii="Times New Roman" w:hAnsi="Times New Roman"/>
                <w:sz w:val="21"/>
                <w:szCs w:val="21"/>
              </w:rPr>
            </w:pPr>
            <w:r>
              <w:rPr>
                <w:rFonts w:ascii="Times New Roman" w:hAnsi="Times New Roman"/>
                <w:sz w:val="21"/>
                <w:szCs w:val="21"/>
              </w:rPr>
              <w:t>10</w:t>
            </w:r>
          </w:p>
        </w:tc>
        <w:tc>
          <w:tcPr>
            <w:tcW w:w="989" w:type="dxa"/>
            <w:vAlign w:val="center"/>
          </w:tcPr>
          <w:p>
            <w:pPr>
              <w:spacing w:line="240" w:lineRule="exact"/>
              <w:jc w:val="center"/>
              <w:rPr>
                <w:rFonts w:ascii="Times New Roman" w:hAnsi="Times New Roman"/>
                <w:sz w:val="21"/>
                <w:szCs w:val="21"/>
              </w:rPr>
            </w:pPr>
            <w:r>
              <w:rPr>
                <w:rFonts w:ascii="Times New Roman" w:hAnsi="Times New Roman"/>
                <w:sz w:val="21"/>
                <w:szCs w:val="21"/>
              </w:rPr>
              <w:t>97.29%</w:t>
            </w:r>
          </w:p>
        </w:tc>
        <w:tc>
          <w:tcPr>
            <w:tcW w:w="1348" w:type="dxa"/>
            <w:vAlign w:val="center"/>
          </w:tcPr>
          <w:p>
            <w:pPr>
              <w:spacing w:line="240" w:lineRule="exact"/>
              <w:jc w:val="center"/>
              <w:rPr>
                <w:rFonts w:hint="eastAsia" w:ascii="Times New Roman" w:hAnsi="Times New Roman" w:eastAsia="仿宋_GB2312"/>
                <w:sz w:val="21"/>
                <w:szCs w:val="21"/>
                <w:lang w:eastAsia="zh-CN"/>
              </w:rPr>
            </w:pPr>
            <w:r>
              <w:rPr>
                <w:rFonts w:ascii="Times New Roman" w:hAnsi="Times New Roman"/>
                <w:sz w:val="21"/>
                <w:szCs w:val="21"/>
              </w:rPr>
              <w:t>9.</w:t>
            </w:r>
            <w:r>
              <w:rPr>
                <w:rFonts w:hint="eastAsia" w:ascii="Times New Roman" w:hAnsi="Times New Roman"/>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按收入性质分：</w:t>
            </w:r>
          </w:p>
        </w:tc>
        <w:tc>
          <w:tcPr>
            <w:tcW w:w="4110" w:type="dxa"/>
            <w:gridSpan w:val="4"/>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其中：</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一般公共预算：</w:t>
            </w:r>
            <w:r>
              <w:rPr>
                <w:rFonts w:ascii="Times New Roman" w:hAnsi="Times New Roman"/>
                <w:color w:val="000000"/>
                <w:kern w:val="0"/>
                <w:sz w:val="21"/>
                <w:szCs w:val="21"/>
              </w:rPr>
              <w:t>3835.69</w:t>
            </w:r>
          </w:p>
        </w:tc>
        <w:tc>
          <w:tcPr>
            <w:tcW w:w="4110" w:type="dxa"/>
            <w:gridSpan w:val="4"/>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其中：基本支出：</w:t>
            </w:r>
            <w:r>
              <w:rPr>
                <w:rFonts w:ascii="Times New Roman" w:hAnsi="Times New Roman"/>
                <w:color w:val="000000"/>
                <w:kern w:val="0"/>
                <w:sz w:val="21"/>
                <w:szCs w:val="21"/>
              </w:rPr>
              <w:t>3650.22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widowControl/>
              <w:spacing w:line="240" w:lineRule="exact"/>
              <w:ind w:firstLine="840" w:firstLineChars="400"/>
              <w:jc w:val="left"/>
              <w:rPr>
                <w:rFonts w:ascii="Times New Roman" w:hAnsi="Times New Roman"/>
                <w:color w:val="000000"/>
                <w:kern w:val="0"/>
                <w:sz w:val="21"/>
                <w:szCs w:val="21"/>
              </w:rPr>
            </w:pPr>
            <w:r>
              <w:rPr>
                <w:rFonts w:hint="eastAsia" w:ascii="Times New Roman" w:hAnsi="Times New Roman"/>
                <w:color w:val="000000"/>
                <w:kern w:val="0"/>
                <w:sz w:val="21"/>
                <w:szCs w:val="21"/>
              </w:rPr>
              <w:t>政府性基金拨款：</w:t>
            </w:r>
          </w:p>
        </w:tc>
        <w:tc>
          <w:tcPr>
            <w:tcW w:w="4110" w:type="dxa"/>
            <w:gridSpan w:val="4"/>
            <w:vAlign w:val="center"/>
          </w:tcPr>
          <w:p>
            <w:pPr>
              <w:widowControl/>
              <w:spacing w:line="240" w:lineRule="exact"/>
              <w:ind w:firstLine="630" w:firstLineChars="300"/>
              <w:jc w:val="left"/>
              <w:rPr>
                <w:rFonts w:ascii="Times New Roman" w:hAnsi="Times New Roman"/>
                <w:color w:val="000000"/>
                <w:kern w:val="0"/>
                <w:sz w:val="21"/>
                <w:szCs w:val="21"/>
              </w:rPr>
            </w:pPr>
            <w:r>
              <w:rPr>
                <w:rFonts w:hint="eastAsia" w:ascii="Times New Roman" w:hAnsi="Times New Roman"/>
                <w:color w:val="000000"/>
                <w:kern w:val="0"/>
                <w:sz w:val="21"/>
                <w:szCs w:val="21"/>
              </w:rPr>
              <w:t>项目支出：</w:t>
            </w:r>
            <w:r>
              <w:rPr>
                <w:rFonts w:ascii="Times New Roman" w:hAnsi="Times New Roman"/>
                <w:color w:val="000000"/>
                <w:kern w:val="0"/>
                <w:sz w:val="21"/>
                <w:szCs w:val="21"/>
              </w:rPr>
              <w:t>5985.47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纳入专户管理的非税收入拨款：</w:t>
            </w:r>
            <w:r>
              <w:rPr>
                <w:rFonts w:ascii="Times New Roman" w:hAnsi="Times New Roman"/>
                <w:color w:val="000000"/>
                <w:kern w:val="0"/>
                <w:sz w:val="21"/>
                <w:szCs w:val="21"/>
              </w:rPr>
              <w:t>5800</w:t>
            </w:r>
          </w:p>
        </w:tc>
        <w:tc>
          <w:tcPr>
            <w:tcW w:w="4110" w:type="dxa"/>
            <w:gridSpan w:val="4"/>
            <w:vAlign w:val="center"/>
          </w:tcPr>
          <w:p>
            <w:pPr>
              <w:widowControl/>
              <w:spacing w:line="240" w:lineRule="exact"/>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widowControl/>
              <w:spacing w:line="240" w:lineRule="exact"/>
              <w:ind w:firstLine="1470" w:firstLineChars="700"/>
              <w:jc w:val="left"/>
              <w:rPr>
                <w:rFonts w:ascii="Times New Roman" w:hAnsi="Times New Roman"/>
                <w:color w:val="000000"/>
                <w:kern w:val="0"/>
                <w:sz w:val="21"/>
                <w:szCs w:val="21"/>
              </w:rPr>
            </w:pPr>
            <w:r>
              <w:rPr>
                <w:rFonts w:hint="eastAsia" w:ascii="Times New Roman" w:hAnsi="Times New Roman"/>
                <w:color w:val="000000"/>
                <w:kern w:val="0"/>
                <w:sz w:val="21"/>
                <w:szCs w:val="21"/>
              </w:rPr>
              <w:t>其他资金：</w:t>
            </w:r>
          </w:p>
        </w:tc>
        <w:tc>
          <w:tcPr>
            <w:tcW w:w="4110" w:type="dxa"/>
            <w:gridSpan w:val="4"/>
            <w:vAlign w:val="center"/>
          </w:tcPr>
          <w:p>
            <w:pPr>
              <w:widowControl/>
              <w:spacing w:line="240" w:lineRule="exact"/>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76" w:type="dxa"/>
            <w:vMerge w:val="restart"/>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年度总体目标</w:t>
            </w:r>
          </w:p>
        </w:tc>
        <w:tc>
          <w:tcPr>
            <w:tcW w:w="4774" w:type="dxa"/>
            <w:gridSpan w:val="6"/>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预期目标</w:t>
            </w:r>
          </w:p>
        </w:tc>
        <w:tc>
          <w:tcPr>
            <w:tcW w:w="4110" w:type="dxa"/>
            <w:gridSpan w:val="4"/>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076" w:type="dxa"/>
            <w:vMerge w:val="continue"/>
            <w:vAlign w:val="center"/>
          </w:tcPr>
          <w:p>
            <w:pPr>
              <w:widowControl/>
              <w:spacing w:line="240" w:lineRule="exact"/>
              <w:jc w:val="left"/>
              <w:rPr>
                <w:rFonts w:ascii="Times New Roman" w:hAnsi="Times New Roman"/>
                <w:color w:val="000000"/>
                <w:kern w:val="0"/>
                <w:sz w:val="21"/>
                <w:szCs w:val="21"/>
              </w:rPr>
            </w:pPr>
          </w:p>
        </w:tc>
        <w:tc>
          <w:tcPr>
            <w:tcW w:w="4774" w:type="dxa"/>
            <w:gridSpan w:val="6"/>
            <w:vAlign w:val="center"/>
          </w:tcPr>
          <w:p>
            <w:pPr>
              <w:ind w:firstLine="210" w:firstLineChars="100"/>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lang w:eastAsia="zh-CN"/>
              </w:rPr>
              <w:t>　加大教学实验实训投入、加快实验室更新改造，完成新教学大楼建设并投入使用，改善学生生活、住宿环境，教学质量、人才培养水平逐年提高，毕业生就业率保持稳定，社会影响进一步扩大。　</w:t>
            </w:r>
          </w:p>
        </w:tc>
        <w:tc>
          <w:tcPr>
            <w:tcW w:w="4110" w:type="dxa"/>
            <w:gridSpan w:val="4"/>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lang w:eastAsia="zh-CN"/>
              </w:rPr>
              <w:t>　　</w:t>
            </w:r>
            <w:r>
              <w:rPr>
                <w:rFonts w:hint="eastAsia" w:ascii="Times New Roman" w:hAnsi="Times New Roman"/>
                <w:color w:val="000000"/>
                <w:kern w:val="0"/>
                <w:sz w:val="21"/>
                <w:szCs w:val="21"/>
              </w:rPr>
              <w:t>新教学大楼</w:t>
            </w:r>
            <w:r>
              <w:rPr>
                <w:rFonts w:hint="eastAsia" w:ascii="Times New Roman" w:hAnsi="Times New Roman"/>
                <w:color w:val="000000"/>
                <w:kern w:val="0"/>
                <w:sz w:val="21"/>
                <w:szCs w:val="21"/>
                <w:lang w:eastAsia="zh-CN"/>
              </w:rPr>
              <w:t>、</w:t>
            </w:r>
            <w:r>
              <w:rPr>
                <w:rFonts w:hint="eastAsia" w:ascii="Times New Roman" w:hAnsi="Times New Roman"/>
                <w:color w:val="000000"/>
                <w:kern w:val="0"/>
                <w:sz w:val="21"/>
                <w:szCs w:val="21"/>
              </w:rPr>
              <w:t>教学实验实训</w:t>
            </w:r>
            <w:r>
              <w:rPr>
                <w:rFonts w:hint="eastAsia" w:ascii="Times New Roman" w:hAnsi="Times New Roman"/>
                <w:color w:val="000000"/>
                <w:kern w:val="0"/>
                <w:sz w:val="21"/>
                <w:szCs w:val="21"/>
                <w:lang w:eastAsia="zh-CN"/>
              </w:rPr>
              <w:t>已</w:t>
            </w:r>
            <w:r>
              <w:rPr>
                <w:rFonts w:hint="eastAsia" w:ascii="Times New Roman" w:hAnsi="Times New Roman"/>
                <w:color w:val="000000"/>
                <w:kern w:val="0"/>
                <w:sz w:val="21"/>
                <w:szCs w:val="21"/>
              </w:rPr>
              <w:t>投入</w:t>
            </w:r>
            <w:r>
              <w:rPr>
                <w:rFonts w:hint="eastAsia" w:ascii="Times New Roman" w:hAnsi="Times New Roman"/>
                <w:color w:val="000000"/>
                <w:kern w:val="0"/>
                <w:sz w:val="21"/>
                <w:szCs w:val="21"/>
                <w:lang w:eastAsia="zh-CN"/>
              </w:rPr>
              <w:t>使用，招生规模达</w:t>
            </w:r>
            <w:r>
              <w:rPr>
                <w:rFonts w:hint="eastAsia" w:ascii="Times New Roman" w:hAnsi="Times New Roman"/>
                <w:color w:val="000000"/>
                <w:kern w:val="0"/>
                <w:sz w:val="21"/>
                <w:szCs w:val="21"/>
                <w:lang w:val="en-US" w:eastAsia="zh-CN"/>
              </w:rPr>
              <w:t>3300人左右，</w:t>
            </w:r>
            <w:r>
              <w:rPr>
                <w:rFonts w:hint="eastAsia" w:ascii="Times New Roman" w:hAnsi="Times New Roman"/>
                <w:color w:val="000000"/>
                <w:kern w:val="0"/>
                <w:sz w:val="21"/>
                <w:szCs w:val="21"/>
              </w:rPr>
              <w:t>教学质量、人才培养水平逐年提高，毕业生就业率</w:t>
            </w:r>
            <w:r>
              <w:rPr>
                <w:rFonts w:hint="eastAsia" w:ascii="Times New Roman" w:hAnsi="Times New Roman"/>
                <w:color w:val="000000"/>
                <w:kern w:val="0"/>
                <w:sz w:val="21"/>
                <w:szCs w:val="21"/>
                <w:lang w:eastAsia="zh-CN"/>
              </w:rPr>
              <w:t>、学生家长满意度</w:t>
            </w:r>
            <w:r>
              <w:rPr>
                <w:rFonts w:hint="eastAsia" w:ascii="Times New Roman" w:hAnsi="Times New Roman"/>
                <w:color w:val="000000"/>
                <w:kern w:val="0"/>
                <w:sz w:val="21"/>
                <w:szCs w:val="21"/>
              </w:rPr>
              <w:t>保持稳定，社会影响进一步扩</w:t>
            </w:r>
            <w:r>
              <w:rPr>
                <w:rFonts w:hint="eastAsia" w:ascii="Times New Roman" w:hAnsi="Times New Roman"/>
                <w:color w:val="000000"/>
                <w:kern w:val="0"/>
                <w:sz w:val="21"/>
                <w:szCs w:val="21"/>
                <w:lang w:eastAsia="zh-CN"/>
              </w:rPr>
              <w:t>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76" w:type="dxa"/>
            <w:vMerge w:val="restart"/>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绩</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效</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指</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标</w:t>
            </w:r>
          </w:p>
        </w:tc>
        <w:tc>
          <w:tcPr>
            <w:tcW w:w="1076"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一级指标</w:t>
            </w:r>
          </w:p>
        </w:tc>
        <w:tc>
          <w:tcPr>
            <w:tcW w:w="1060"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二级指标</w:t>
            </w:r>
          </w:p>
        </w:tc>
        <w:tc>
          <w:tcPr>
            <w:tcW w:w="1558"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三级指标</w:t>
            </w:r>
          </w:p>
        </w:tc>
        <w:tc>
          <w:tcPr>
            <w:tcW w:w="1080"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指标值</w:t>
            </w:r>
          </w:p>
        </w:tc>
        <w:tc>
          <w:tcPr>
            <w:tcW w:w="1067" w:type="dxa"/>
            <w:vAlign w:val="center"/>
          </w:tcPr>
          <w:p>
            <w:pPr>
              <w:widowControl/>
              <w:spacing w:line="240" w:lineRule="exact"/>
              <w:rPr>
                <w:rFonts w:ascii="Times New Roman" w:hAnsi="Times New Roman"/>
                <w:color w:val="000000"/>
                <w:kern w:val="0"/>
                <w:sz w:val="21"/>
                <w:szCs w:val="21"/>
              </w:rPr>
            </w:pPr>
            <w:r>
              <w:rPr>
                <w:rFonts w:hint="eastAsia" w:ascii="Times New Roman" w:hAnsi="Times New Roman"/>
                <w:color w:val="000000"/>
                <w:kern w:val="0"/>
                <w:sz w:val="21"/>
                <w:szCs w:val="21"/>
              </w:rPr>
              <w:t>实际完成值</w:t>
            </w:r>
          </w:p>
        </w:tc>
        <w:tc>
          <w:tcPr>
            <w:tcW w:w="706"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分值</w:t>
            </w:r>
          </w:p>
        </w:tc>
        <w:tc>
          <w:tcPr>
            <w:tcW w:w="989"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得分</w:t>
            </w:r>
          </w:p>
        </w:tc>
        <w:tc>
          <w:tcPr>
            <w:tcW w:w="1348"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偏差原因</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分析及</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restart"/>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产出指标</w:t>
            </w:r>
          </w:p>
          <w:p>
            <w:pPr>
              <w:widowControl/>
              <w:spacing w:line="240" w:lineRule="exact"/>
              <w:jc w:val="center"/>
              <w:rPr>
                <w:rFonts w:ascii="Times New Roman" w:hAnsi="Times New Roman"/>
                <w:color w:val="000000"/>
                <w:kern w:val="0"/>
                <w:sz w:val="21"/>
                <w:szCs w:val="21"/>
              </w:rPr>
            </w:pP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(50</w:t>
            </w:r>
            <w:r>
              <w:rPr>
                <w:rFonts w:hint="eastAsia" w:ascii="Times New Roman" w:hAnsi="Times New Roman"/>
                <w:color w:val="000000"/>
                <w:kern w:val="0"/>
                <w:sz w:val="21"/>
                <w:szCs w:val="21"/>
              </w:rPr>
              <w:t>分</w:t>
            </w:r>
            <w:r>
              <w:rPr>
                <w:rFonts w:ascii="Times New Roman" w:hAnsi="Times New Roman"/>
                <w:color w:val="000000"/>
                <w:kern w:val="0"/>
                <w:sz w:val="21"/>
                <w:szCs w:val="21"/>
              </w:rPr>
              <w:t>)</w:t>
            </w:r>
          </w:p>
        </w:tc>
        <w:tc>
          <w:tcPr>
            <w:tcW w:w="1060" w:type="dxa"/>
            <w:gridSpan w:val="2"/>
            <w:vMerge w:val="restart"/>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数量指标</w:t>
            </w:r>
          </w:p>
        </w:tc>
        <w:tc>
          <w:tcPr>
            <w:tcW w:w="1558" w:type="dxa"/>
            <w:gridSpan w:val="2"/>
            <w:vAlign w:val="center"/>
          </w:tcPr>
          <w:p>
            <w:pPr>
              <w:widowControl/>
              <w:wordWrap/>
              <w:adjustRightInd/>
              <w:snapToGrid/>
              <w:spacing w:before="0" w:after="0" w:line="240" w:lineRule="exact"/>
              <w:ind w:left="0" w:leftChars="0" w:right="0" w:firstLine="0" w:firstLineChars="0"/>
              <w:jc w:val="left"/>
              <w:textAlignment w:val="auto"/>
              <w:outlineLvl w:val="9"/>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：学生就业率</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95%以上</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cs="仿宋_GB2312"/>
                <w:sz w:val="21"/>
                <w:szCs w:val="21"/>
                <w:lang w:val="en-US" w:eastAsia="zh-CN"/>
              </w:rPr>
              <w:t>95</w:t>
            </w:r>
            <w:r>
              <w:rPr>
                <w:rFonts w:hint="eastAsia" w:ascii="仿宋_GB2312" w:hAnsi="仿宋_GB2312" w:eastAsia="仿宋_GB2312" w:cs="仿宋_GB2312"/>
                <w:sz w:val="21"/>
                <w:szCs w:val="21"/>
              </w:rPr>
              <w:t>%</w:t>
            </w:r>
          </w:p>
        </w:tc>
        <w:tc>
          <w:tcPr>
            <w:tcW w:w="706"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8</w:t>
            </w:r>
          </w:p>
        </w:tc>
        <w:tc>
          <w:tcPr>
            <w:tcW w:w="989"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1348"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Merge w:val="continue"/>
            <w:vAlign w:val="center"/>
          </w:tcPr>
          <w:p>
            <w:pPr>
              <w:spacing w:line="240" w:lineRule="exact"/>
              <w:jc w:val="center"/>
              <w:rPr>
                <w:rFonts w:ascii="Times New Roman" w:hAnsi="Times New Roman"/>
                <w:color w:val="000000"/>
                <w:kern w:val="0"/>
                <w:sz w:val="21"/>
                <w:szCs w:val="21"/>
              </w:rPr>
            </w:pPr>
          </w:p>
        </w:tc>
        <w:tc>
          <w:tcPr>
            <w:tcW w:w="1558" w:type="dxa"/>
            <w:gridSpan w:val="2"/>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2</w:t>
            </w:r>
            <w:r>
              <w:rPr>
                <w:rFonts w:hint="eastAsia" w:ascii="Times New Roman" w:hAnsi="Times New Roman"/>
                <w:color w:val="000000"/>
                <w:kern w:val="0"/>
                <w:sz w:val="21"/>
                <w:szCs w:val="21"/>
              </w:rPr>
              <w:t>：招生规模</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3100人</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3360</w:t>
            </w:r>
          </w:p>
        </w:tc>
        <w:tc>
          <w:tcPr>
            <w:tcW w:w="706"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8</w:t>
            </w:r>
          </w:p>
        </w:tc>
        <w:tc>
          <w:tcPr>
            <w:tcW w:w="989"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8</w:t>
            </w:r>
          </w:p>
        </w:tc>
        <w:tc>
          <w:tcPr>
            <w:tcW w:w="1348"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Merge w:val="continue"/>
            <w:vAlign w:val="center"/>
          </w:tcPr>
          <w:p>
            <w:pPr>
              <w:spacing w:line="240" w:lineRule="exact"/>
              <w:jc w:val="center"/>
              <w:rPr>
                <w:rFonts w:ascii="Times New Roman" w:hAnsi="Times New Roman"/>
                <w:color w:val="000000"/>
                <w:kern w:val="0"/>
                <w:sz w:val="21"/>
                <w:szCs w:val="21"/>
              </w:rPr>
            </w:pPr>
          </w:p>
        </w:tc>
        <w:tc>
          <w:tcPr>
            <w:tcW w:w="1558" w:type="dxa"/>
            <w:gridSpan w:val="2"/>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rPr>
              <w:t>指标</w:t>
            </w:r>
            <w:r>
              <w:rPr>
                <w:rFonts w:hint="eastAsia" w:ascii="Times New Roman" w:hAnsi="Times New Roman"/>
                <w:color w:val="000000"/>
                <w:kern w:val="0"/>
                <w:sz w:val="21"/>
                <w:szCs w:val="21"/>
                <w:lang w:val="en-US" w:eastAsia="zh-CN"/>
              </w:rPr>
              <w:t>3</w:t>
            </w:r>
            <w:r>
              <w:rPr>
                <w:rFonts w:hint="eastAsia" w:ascii="Times New Roman" w:hAnsi="Times New Roman"/>
                <w:color w:val="000000"/>
                <w:kern w:val="0"/>
                <w:sz w:val="21"/>
                <w:szCs w:val="21"/>
              </w:rPr>
              <w:t>：</w:t>
            </w:r>
            <w:r>
              <w:rPr>
                <w:rFonts w:hint="eastAsia" w:ascii="Times New Roman" w:hAnsi="Times New Roman"/>
                <w:color w:val="000000"/>
                <w:kern w:val="0"/>
                <w:sz w:val="21"/>
                <w:szCs w:val="21"/>
                <w:lang w:val="en-US" w:eastAsia="zh-CN"/>
              </w:rPr>
              <w:t>三公经费按额度支出</w:t>
            </w:r>
          </w:p>
        </w:tc>
        <w:tc>
          <w:tcPr>
            <w:tcW w:w="1080"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100%</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100%</w:t>
            </w:r>
          </w:p>
        </w:tc>
        <w:tc>
          <w:tcPr>
            <w:tcW w:w="706"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7</w:t>
            </w:r>
          </w:p>
        </w:tc>
        <w:tc>
          <w:tcPr>
            <w:tcW w:w="989"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7</w:t>
            </w:r>
          </w:p>
        </w:tc>
        <w:tc>
          <w:tcPr>
            <w:tcW w:w="1348" w:type="dxa"/>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Merge w:val="continue"/>
            <w:vAlign w:val="center"/>
          </w:tcPr>
          <w:p>
            <w:pPr>
              <w:spacing w:line="240" w:lineRule="exact"/>
              <w:jc w:val="center"/>
              <w:rPr>
                <w:rFonts w:ascii="Times New Roman" w:hAnsi="Times New Roman"/>
                <w:color w:val="000000"/>
                <w:kern w:val="0"/>
                <w:sz w:val="21"/>
                <w:szCs w:val="21"/>
              </w:rPr>
            </w:pPr>
          </w:p>
        </w:tc>
        <w:tc>
          <w:tcPr>
            <w:tcW w:w="1558" w:type="dxa"/>
            <w:gridSpan w:val="2"/>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rPr>
              <w:t>指</w:t>
            </w:r>
            <w:r>
              <w:rPr>
                <w:rFonts w:hint="eastAsia" w:ascii="Times New Roman" w:hAnsi="Times New Roman"/>
                <w:color w:val="000000"/>
                <w:kern w:val="0"/>
                <w:sz w:val="21"/>
                <w:szCs w:val="21"/>
                <w:lang w:val="en-US" w:eastAsia="zh-CN"/>
              </w:rPr>
              <w:t>标4：教师培训批次</w:t>
            </w:r>
          </w:p>
        </w:tc>
        <w:tc>
          <w:tcPr>
            <w:tcW w:w="108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20批</w:t>
            </w:r>
          </w:p>
        </w:tc>
        <w:tc>
          <w:tcPr>
            <w:tcW w:w="1067" w:type="dxa"/>
            <w:vAlign w:val="center"/>
          </w:tcPr>
          <w:p>
            <w:pPr>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20批</w:t>
            </w:r>
          </w:p>
        </w:tc>
        <w:tc>
          <w:tcPr>
            <w:tcW w:w="706"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7</w:t>
            </w:r>
          </w:p>
        </w:tc>
        <w:tc>
          <w:tcPr>
            <w:tcW w:w="989" w:type="dxa"/>
            <w:vAlign w:val="center"/>
          </w:tcPr>
          <w:p>
            <w:pPr>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7</w:t>
            </w:r>
          </w:p>
        </w:tc>
        <w:tc>
          <w:tcPr>
            <w:tcW w:w="1348" w:type="dxa"/>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质量指标</w:t>
            </w:r>
          </w:p>
        </w:tc>
        <w:tc>
          <w:tcPr>
            <w:tcW w:w="1558" w:type="dxa"/>
            <w:gridSpan w:val="2"/>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sz w:val="21"/>
                <w:szCs w:val="21"/>
              </w:rPr>
              <w:t>教学质量及水平</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明显</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提升</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明显提升</w:t>
            </w:r>
          </w:p>
        </w:tc>
        <w:tc>
          <w:tcPr>
            <w:tcW w:w="706"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时效指标</w:t>
            </w:r>
          </w:p>
        </w:tc>
        <w:tc>
          <w:tcPr>
            <w:tcW w:w="1558" w:type="dxa"/>
            <w:gridSpan w:val="2"/>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sz w:val="21"/>
                <w:szCs w:val="21"/>
              </w:rPr>
              <w:t>学生资助经费及时发放率</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100%</w:t>
            </w:r>
          </w:p>
        </w:tc>
        <w:tc>
          <w:tcPr>
            <w:tcW w:w="706"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restart"/>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效益指标</w:t>
            </w:r>
          </w:p>
          <w:p>
            <w:pPr>
              <w:widowControl/>
              <w:spacing w:line="240" w:lineRule="exact"/>
              <w:jc w:val="left"/>
              <w:rPr>
                <w:rFonts w:ascii="Times New Roman" w:hAnsi="Times New Roman"/>
                <w:color w:val="000000"/>
                <w:kern w:val="0"/>
                <w:sz w:val="21"/>
                <w:szCs w:val="21"/>
              </w:rPr>
            </w:pPr>
          </w:p>
          <w:p>
            <w:pPr>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w:t>
            </w:r>
            <w:r>
              <w:rPr>
                <w:rFonts w:ascii="Times New Roman" w:hAnsi="Times New Roman"/>
                <w:color w:val="000000"/>
                <w:kern w:val="0"/>
                <w:sz w:val="21"/>
                <w:szCs w:val="21"/>
              </w:rPr>
              <w:t>30</w:t>
            </w:r>
            <w:r>
              <w:rPr>
                <w:rFonts w:hint="eastAsia" w:ascii="Times New Roman" w:hAnsi="Times New Roman"/>
                <w:color w:val="000000"/>
                <w:kern w:val="0"/>
                <w:sz w:val="21"/>
                <w:szCs w:val="21"/>
              </w:rPr>
              <w:t>分）　</w:t>
            </w:r>
          </w:p>
        </w:tc>
        <w:tc>
          <w:tcPr>
            <w:tcW w:w="1060"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社会效</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益指标</w:t>
            </w:r>
          </w:p>
        </w:tc>
        <w:tc>
          <w:tcPr>
            <w:tcW w:w="1558" w:type="dxa"/>
            <w:gridSpan w:val="2"/>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sz w:val="21"/>
                <w:szCs w:val="21"/>
              </w:rPr>
              <w:t>学校知名度、美誉度</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提升</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持续提升</w:t>
            </w:r>
          </w:p>
        </w:tc>
        <w:tc>
          <w:tcPr>
            <w:tcW w:w="706"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生态效</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益指标</w:t>
            </w:r>
          </w:p>
        </w:tc>
        <w:tc>
          <w:tcPr>
            <w:tcW w:w="1558" w:type="dxa"/>
            <w:gridSpan w:val="2"/>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sz w:val="21"/>
                <w:szCs w:val="21"/>
              </w:rPr>
              <w:t>促进自然生态和谐</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提升</w:t>
            </w:r>
          </w:p>
        </w:tc>
        <w:tc>
          <w:tcPr>
            <w:tcW w:w="1067"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持续提升</w:t>
            </w:r>
          </w:p>
        </w:tc>
        <w:tc>
          <w:tcPr>
            <w:tcW w:w="706"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76" w:type="dxa"/>
            <w:vMerge w:val="continue"/>
            <w:vAlign w:val="center"/>
          </w:tcPr>
          <w:p>
            <w:pPr>
              <w:spacing w:line="240" w:lineRule="exact"/>
              <w:jc w:val="left"/>
              <w:rPr>
                <w:rFonts w:ascii="Times New Roman" w:hAnsi="Times New Roman"/>
                <w:color w:val="000000"/>
                <w:kern w:val="0"/>
                <w:sz w:val="21"/>
                <w:szCs w:val="21"/>
              </w:rPr>
            </w:pPr>
          </w:p>
        </w:tc>
        <w:tc>
          <w:tcPr>
            <w:tcW w:w="1076" w:type="dxa"/>
            <w:vMerge w:val="continue"/>
            <w:vAlign w:val="center"/>
          </w:tcPr>
          <w:p>
            <w:pPr>
              <w:spacing w:line="240" w:lineRule="exact"/>
              <w:jc w:val="left"/>
              <w:rPr>
                <w:rFonts w:ascii="Times New Roman" w:hAnsi="Times New Roman"/>
                <w:color w:val="000000"/>
                <w:kern w:val="0"/>
                <w:sz w:val="21"/>
                <w:szCs w:val="21"/>
              </w:rPr>
            </w:pPr>
          </w:p>
        </w:tc>
        <w:tc>
          <w:tcPr>
            <w:tcW w:w="1060" w:type="dxa"/>
            <w:gridSpan w:val="2"/>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可持续影响指标</w:t>
            </w:r>
          </w:p>
        </w:tc>
        <w:tc>
          <w:tcPr>
            <w:tcW w:w="1558" w:type="dxa"/>
            <w:gridSpan w:val="2"/>
            <w:vAlign w:val="center"/>
          </w:tcPr>
          <w:p>
            <w:pPr>
              <w:widowControl/>
              <w:spacing w:line="240" w:lineRule="exact"/>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ascii="宋体" w:hAnsi="宋体" w:cs="宋体"/>
                <w:kern w:val="0"/>
                <w:sz w:val="21"/>
                <w:szCs w:val="21"/>
              </w:rPr>
              <w:t>学校影响力</w:t>
            </w:r>
          </w:p>
        </w:tc>
        <w:tc>
          <w:tcPr>
            <w:tcW w:w="108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w:t>
            </w:r>
          </w:p>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提升</w:t>
            </w:r>
          </w:p>
        </w:tc>
        <w:tc>
          <w:tcPr>
            <w:tcW w:w="106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持续提升</w:t>
            </w:r>
          </w:p>
        </w:tc>
        <w:tc>
          <w:tcPr>
            <w:tcW w:w="706"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6" w:type="dxa"/>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绩</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效</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指</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标</w:t>
            </w:r>
          </w:p>
        </w:tc>
        <w:tc>
          <w:tcPr>
            <w:tcW w:w="1076" w:type="dxa"/>
            <w:vAlign w:val="center"/>
          </w:tcPr>
          <w:p>
            <w:pPr>
              <w:widowControl/>
              <w:spacing w:line="240" w:lineRule="exact"/>
              <w:jc w:val="left"/>
              <w:rPr>
                <w:rFonts w:hint="eastAsia" w:ascii="Times New Roman" w:hAnsi="Times New Roman"/>
                <w:color w:val="000000"/>
                <w:kern w:val="0"/>
                <w:sz w:val="21"/>
                <w:szCs w:val="21"/>
              </w:rPr>
            </w:pPr>
            <w:r>
              <w:rPr>
                <w:rFonts w:hint="eastAsia" w:ascii="Times New Roman" w:hAnsi="Times New Roman"/>
                <w:color w:val="000000"/>
                <w:kern w:val="0"/>
                <w:sz w:val="21"/>
                <w:szCs w:val="21"/>
              </w:rPr>
              <w:t>　</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满意度</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指标</w:t>
            </w:r>
          </w:p>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w:t>
            </w:r>
            <w:r>
              <w:rPr>
                <w:rFonts w:ascii="Times New Roman" w:hAnsi="Times New Roman"/>
                <w:color w:val="000000"/>
                <w:kern w:val="0"/>
                <w:sz w:val="21"/>
                <w:szCs w:val="21"/>
              </w:rPr>
              <w:t>10</w:t>
            </w:r>
            <w:r>
              <w:rPr>
                <w:rFonts w:hint="eastAsia" w:ascii="Times New Roman" w:hAnsi="Times New Roman"/>
                <w:color w:val="000000"/>
                <w:kern w:val="0"/>
                <w:sz w:val="21"/>
                <w:szCs w:val="21"/>
              </w:rPr>
              <w:t>分）</w:t>
            </w:r>
          </w:p>
        </w:tc>
        <w:tc>
          <w:tcPr>
            <w:tcW w:w="1060" w:type="dxa"/>
            <w:gridSpan w:val="2"/>
            <w:vAlign w:val="center"/>
          </w:tcPr>
          <w:p>
            <w:pPr>
              <w:widowControl/>
              <w:spacing w:line="240" w:lineRule="exact"/>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服务对象满意度指标</w:t>
            </w:r>
          </w:p>
        </w:tc>
        <w:tc>
          <w:tcPr>
            <w:tcW w:w="1558" w:type="dxa"/>
            <w:gridSpan w:val="2"/>
            <w:vAlign w:val="center"/>
          </w:tcPr>
          <w:p>
            <w:pPr>
              <w:widowControl/>
              <w:spacing w:line="240" w:lineRule="exact"/>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color w:val="000000"/>
                <w:kern w:val="0"/>
                <w:sz w:val="21"/>
                <w:szCs w:val="21"/>
              </w:rPr>
              <w:t>指标</w:t>
            </w:r>
            <w:r>
              <w:rPr>
                <w:rFonts w:ascii="Times New Roman" w:hAnsi="Times New Roman"/>
                <w:color w:val="000000"/>
                <w:kern w:val="0"/>
                <w:sz w:val="21"/>
                <w:szCs w:val="21"/>
              </w:rPr>
              <w:t>1</w:t>
            </w:r>
            <w:r>
              <w:rPr>
                <w:rFonts w:hint="eastAsia" w:ascii="Times New Roman" w:hAnsi="Times New Roman"/>
                <w:color w:val="000000"/>
                <w:kern w:val="0"/>
                <w:sz w:val="21"/>
                <w:szCs w:val="21"/>
              </w:rPr>
              <w:t>：</w:t>
            </w:r>
            <w:r>
              <w:rPr>
                <w:rFonts w:hint="eastAsia"/>
                <w:sz w:val="21"/>
                <w:szCs w:val="21"/>
              </w:rPr>
              <w:t>家长、学生满意度</w:t>
            </w:r>
          </w:p>
        </w:tc>
        <w:tc>
          <w:tcPr>
            <w:tcW w:w="1080"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98%以上</w:t>
            </w:r>
          </w:p>
        </w:tc>
        <w:tc>
          <w:tcPr>
            <w:tcW w:w="106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100%</w:t>
            </w:r>
          </w:p>
        </w:tc>
        <w:tc>
          <w:tcPr>
            <w:tcW w:w="706"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10</w:t>
            </w:r>
          </w:p>
        </w:tc>
        <w:tc>
          <w:tcPr>
            <w:tcW w:w="989"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10</w:t>
            </w:r>
          </w:p>
        </w:tc>
        <w:tc>
          <w:tcPr>
            <w:tcW w:w="1348"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17" w:type="dxa"/>
            <w:gridSpan w:val="8"/>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rPr>
              <w:t>总分</w:t>
            </w:r>
          </w:p>
        </w:tc>
        <w:tc>
          <w:tcPr>
            <w:tcW w:w="706" w:type="dxa"/>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989" w:type="dxa"/>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　95.5</w:t>
            </w:r>
          </w:p>
        </w:tc>
        <w:tc>
          <w:tcPr>
            <w:tcW w:w="1348" w:type="dxa"/>
            <w:vAlign w:val="center"/>
          </w:tcPr>
          <w:p>
            <w:pPr>
              <w:widowControl/>
              <w:spacing w:line="2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　</w:t>
            </w:r>
          </w:p>
        </w:tc>
      </w:tr>
    </w:tbl>
    <w:p>
      <w:pPr>
        <w:ind w:left="-320" w:leftChars="-100" w:firstLine="0" w:firstLineChars="0"/>
        <w:rPr>
          <w:rFonts w:hint="eastAsia" w:eastAsia="仿宋_GB2312"/>
          <w:lang w:val="en-US" w:eastAsia="zh-CN"/>
        </w:rPr>
      </w:pPr>
      <w:bookmarkStart w:id="0" w:name="_GoBack"/>
      <w:bookmarkEnd w:id="0"/>
      <w:r>
        <w:rPr>
          <w:rFonts w:hint="eastAsia" w:ascii="Times New Roman" w:hAnsi="Times New Roman"/>
          <w:kern w:val="0"/>
          <w:sz w:val="21"/>
          <w:szCs w:val="21"/>
        </w:rPr>
        <w:t>填表人：</w:t>
      </w:r>
      <w:r>
        <w:rPr>
          <w:rFonts w:hint="eastAsia" w:ascii="Times New Roman" w:hAnsi="Times New Roman"/>
          <w:kern w:val="0"/>
          <w:sz w:val="21"/>
          <w:szCs w:val="21"/>
          <w:lang w:eastAsia="zh-CN"/>
        </w:rPr>
        <w:t>高灵芝</w:t>
      </w:r>
      <w:r>
        <w:rPr>
          <w:rFonts w:ascii="Times New Roman" w:hAnsi="Times New Roman"/>
          <w:kern w:val="0"/>
          <w:sz w:val="21"/>
          <w:szCs w:val="21"/>
        </w:rPr>
        <w:t xml:space="preserve">  </w:t>
      </w:r>
      <w:r>
        <w:rPr>
          <w:rFonts w:hint="eastAsia" w:ascii="Times New Roman" w:hAnsi="Times New Roman"/>
          <w:kern w:val="0"/>
          <w:sz w:val="21"/>
          <w:szCs w:val="21"/>
        </w:rPr>
        <w:t>填报日期：</w:t>
      </w:r>
      <w:r>
        <w:rPr>
          <w:rFonts w:hint="eastAsia" w:ascii="Times New Roman" w:hAnsi="Times New Roman"/>
          <w:kern w:val="0"/>
          <w:sz w:val="21"/>
          <w:szCs w:val="21"/>
          <w:lang w:val="en-US" w:eastAsia="zh-CN"/>
        </w:rPr>
        <w:t>2021.4.1</w:t>
      </w:r>
      <w:r>
        <w:rPr>
          <w:rFonts w:ascii="Times New Roman" w:hAnsi="Times New Roman"/>
          <w:kern w:val="0"/>
          <w:sz w:val="21"/>
          <w:szCs w:val="21"/>
        </w:rPr>
        <w:t xml:space="preserve">  </w:t>
      </w:r>
      <w:r>
        <w:rPr>
          <w:rFonts w:hint="eastAsia" w:ascii="Times New Roman" w:hAnsi="Times New Roman"/>
          <w:kern w:val="0"/>
          <w:sz w:val="21"/>
          <w:szCs w:val="21"/>
        </w:rPr>
        <w:t>联系电话：</w:t>
      </w:r>
      <w:r>
        <w:rPr>
          <w:rFonts w:hint="eastAsia" w:ascii="Times New Roman" w:hAnsi="Times New Roman"/>
          <w:kern w:val="0"/>
          <w:sz w:val="21"/>
          <w:szCs w:val="21"/>
          <w:lang w:val="en-US" w:eastAsia="zh-CN"/>
        </w:rPr>
        <w:t>13873790660</w:t>
      </w:r>
      <w:r>
        <w:rPr>
          <w:rFonts w:ascii="Times New Roman" w:hAnsi="Times New Roman"/>
          <w:kern w:val="0"/>
          <w:sz w:val="21"/>
          <w:szCs w:val="21"/>
        </w:rPr>
        <w:t xml:space="preserve">    </w:t>
      </w:r>
      <w:r>
        <w:rPr>
          <w:rFonts w:hint="eastAsia" w:ascii="Times New Roman" w:hAnsi="Times New Roman"/>
          <w:kern w:val="0"/>
          <w:sz w:val="21"/>
          <w:szCs w:val="21"/>
        </w:rPr>
        <w:t>单位负责人签字：</w:t>
      </w:r>
      <w:r>
        <w:rPr>
          <w:rFonts w:hint="eastAsia" w:ascii="Times New Roman" w:hAnsi="Times New Roman"/>
          <w:kern w:val="0"/>
          <w:sz w:val="21"/>
          <w:szCs w:val="21"/>
          <w:lang w:eastAsia="zh-CN"/>
        </w:rPr>
        <w:t>刘柏炎</w:t>
      </w:r>
    </w:p>
    <w:sectPr>
      <w:headerReference r:id="rId3" w:type="default"/>
      <w:footerReference r:id="rId4" w:type="default"/>
      <w:pgSz w:w="11906" w:h="16838"/>
      <w:pgMar w:top="80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仿宋_GB2312"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F52AA"/>
    <w:rsid w:val="069B0F06"/>
    <w:rsid w:val="127A41E2"/>
    <w:rsid w:val="15910AE7"/>
    <w:rsid w:val="18BA2D9E"/>
    <w:rsid w:val="1C921092"/>
    <w:rsid w:val="1E502D9C"/>
    <w:rsid w:val="1F046130"/>
    <w:rsid w:val="2710130C"/>
    <w:rsid w:val="279E2384"/>
    <w:rsid w:val="27F0207B"/>
    <w:rsid w:val="28A74217"/>
    <w:rsid w:val="2E2E5AC0"/>
    <w:rsid w:val="30B00B70"/>
    <w:rsid w:val="33315A40"/>
    <w:rsid w:val="38B33196"/>
    <w:rsid w:val="43BB78F5"/>
    <w:rsid w:val="451619E4"/>
    <w:rsid w:val="4AD77E7C"/>
    <w:rsid w:val="54946DD7"/>
    <w:rsid w:val="55565723"/>
    <w:rsid w:val="565339D3"/>
    <w:rsid w:val="57B8637C"/>
    <w:rsid w:val="57CC757D"/>
    <w:rsid w:val="5829643B"/>
    <w:rsid w:val="5B426D78"/>
    <w:rsid w:val="5EC91CE1"/>
    <w:rsid w:val="616B5BB1"/>
    <w:rsid w:val="69076932"/>
    <w:rsid w:val="69D77FB3"/>
    <w:rsid w:val="6B8C02D1"/>
    <w:rsid w:val="70263A4A"/>
    <w:rsid w:val="74A87A47"/>
    <w:rsid w:val="784B14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批注框文本 Char Char"/>
    <w:basedOn w:val="1"/>
    <w:link w:val="8"/>
    <w:qFormat/>
    <w:uiPriority w:val="0"/>
    <w:rPr>
      <w:rFonts w:ascii="Calibri" w:hAnsi="Calibri" w:eastAsia="仿宋_GB2312" w:cs="Times New Roman"/>
      <w:sz w:val="2"/>
    </w:rPr>
  </w:style>
  <w:style w:type="paragraph" w:customStyle="1" w:styleId="7">
    <w:name w:val="Normal (Web)"/>
    <w:basedOn w:val="1"/>
    <w:qFormat/>
    <w:uiPriority w:val="0"/>
    <w:pPr>
      <w:spacing w:beforeAutospacing="1" w:afterAutospacing="1"/>
      <w:jc w:val="left"/>
    </w:pPr>
    <w:rPr>
      <w:kern w:val="0"/>
      <w:sz w:val="24"/>
    </w:rPr>
  </w:style>
  <w:style w:type="character" w:customStyle="1" w:styleId="8">
    <w:name w:val="Balloon Text Char"/>
    <w:basedOn w:val="5"/>
    <w:link w:val="6"/>
    <w:semiHidden/>
    <w:qFormat/>
    <w:uiPriority w:val="0"/>
    <w:rPr>
      <w:rFonts w:ascii="Calibri" w:hAnsi="Calibri" w:eastAsia="仿宋_GB2312"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790</Words>
  <Characters>4507</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2021-04-01T23:00:00Z</dcterms:created>
  <dc:creator>hnyyyz</dc:creator>
  <cp:lastModifiedBy>雪莲花</cp:lastModifiedBy>
  <cp:lastPrinted>2021-04-01T15:12:00Z</cp:lastPrinted>
  <dcterms:modified xsi:type="dcterms:W3CDTF">2021-09-15T06:48:57Z</dcterms:modified>
  <dc:title>2020年度益阳医学高等专科学校整体支出绩效自评报告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0F121F0514A64349B92BD63499C3BE81</vt:lpwstr>
  </property>
</Properties>
</file>